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diagrams/data1.xml" ContentType="application/vnd.openxmlformats-officedocument.drawingml.diagramData+xml"/>
  <Override PartName="/word/diagrams/layout1.xml" ContentType="application/vnd.openxmlformats-officedocument.drawingml.diagramLayout+xml"/>
  <Override PartName="/word/diagrams/quickStyle1.xml" ContentType="application/vnd.openxmlformats-officedocument.drawingml.diagramStyle+xml"/>
  <Override PartName="/word/diagrams/colors1.xml" ContentType="application/vnd.openxmlformats-officedocument.drawingml.diagramColors+xml"/>
  <Override PartName="/word/diagrams/drawing1.xml" ContentType="application/vnd.ms-office.drawingml.diagramDrawing+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63127B" w:rsidRPr="00064EFD" w:rsidRDefault="0063127B" w:rsidP="0063127B">
      <w:pPr>
        <w:spacing w:after="0"/>
        <w:jc w:val="center"/>
        <w:rPr>
          <w:rFonts w:ascii="Gill Sans MT" w:hAnsi="Gill Sans MT"/>
          <w:b/>
          <w:sz w:val="28"/>
          <w:szCs w:val="28"/>
        </w:rPr>
      </w:pPr>
      <w:r w:rsidRPr="00064EFD">
        <w:rPr>
          <w:rFonts w:ascii="Gill Sans MT" w:hAnsi="Gill Sans MT"/>
          <w:b/>
          <w:sz w:val="28"/>
          <w:szCs w:val="28"/>
        </w:rPr>
        <w:t>MAT CONFERENCE WORKSHOP 2013</w:t>
      </w:r>
    </w:p>
    <w:p w:rsidR="0063127B" w:rsidRPr="00064EFD" w:rsidRDefault="0063127B" w:rsidP="0063127B">
      <w:pPr>
        <w:spacing w:after="0"/>
        <w:jc w:val="center"/>
        <w:rPr>
          <w:rFonts w:ascii="Gill Sans MT" w:hAnsi="Gill Sans MT"/>
          <w:b/>
          <w:sz w:val="28"/>
          <w:szCs w:val="28"/>
        </w:rPr>
      </w:pPr>
    </w:p>
    <w:p w:rsidR="00A95A72" w:rsidRPr="00064EFD" w:rsidRDefault="0063127B" w:rsidP="0063127B">
      <w:pPr>
        <w:spacing w:after="0"/>
        <w:rPr>
          <w:rFonts w:ascii="Gill Sans MT" w:hAnsi="Gill Sans MT"/>
          <w:sz w:val="28"/>
          <w:szCs w:val="28"/>
        </w:rPr>
      </w:pPr>
      <w:r w:rsidRPr="00064EFD">
        <w:rPr>
          <w:rFonts w:ascii="Gill Sans MT" w:hAnsi="Gill Sans MT"/>
          <w:b/>
          <w:sz w:val="28"/>
          <w:szCs w:val="28"/>
        </w:rPr>
        <w:t>Workshop title:</w:t>
      </w:r>
      <w:r w:rsidRPr="00064EFD">
        <w:rPr>
          <w:rFonts w:ascii="Gill Sans MT" w:hAnsi="Gill Sans MT"/>
          <w:sz w:val="28"/>
          <w:szCs w:val="28"/>
        </w:rPr>
        <w:t xml:space="preserve"> </w:t>
      </w:r>
    </w:p>
    <w:p w:rsidR="0063127B" w:rsidRPr="00064EFD" w:rsidRDefault="0063127B" w:rsidP="0063127B">
      <w:pPr>
        <w:spacing w:after="0"/>
        <w:rPr>
          <w:rFonts w:ascii="Gill Sans MT" w:hAnsi="Gill Sans MT"/>
          <w:sz w:val="24"/>
          <w:szCs w:val="24"/>
        </w:rPr>
      </w:pPr>
      <w:r w:rsidRPr="00064EFD">
        <w:rPr>
          <w:rFonts w:ascii="Gill Sans MT" w:hAnsi="Gill Sans MT"/>
          <w:sz w:val="24"/>
          <w:szCs w:val="24"/>
        </w:rPr>
        <w:t>Making accurate and efficient judgments of A, B, C, D, E ratings when using the Australian Curriculum</w:t>
      </w:r>
    </w:p>
    <w:p w:rsidR="0063127B" w:rsidRDefault="00064EFD" w:rsidP="0063127B">
      <w:pPr>
        <w:spacing w:after="0"/>
        <w:rPr>
          <w:rFonts w:ascii="Gill Sans MT" w:hAnsi="Gill Sans MT"/>
          <w:sz w:val="24"/>
          <w:szCs w:val="24"/>
        </w:rPr>
      </w:pPr>
      <w:r>
        <w:rPr>
          <w:rFonts w:ascii="Gill Sans MT" w:hAnsi="Gill Sans MT"/>
          <w:sz w:val="24"/>
          <w:szCs w:val="24"/>
        </w:rPr>
        <w:t>(Workshop presenter: Greg James. Grade focus</w:t>
      </w:r>
      <w:r w:rsidR="00993CD2">
        <w:rPr>
          <w:rFonts w:ascii="Gill Sans MT" w:hAnsi="Gill Sans MT"/>
          <w:sz w:val="24"/>
          <w:szCs w:val="24"/>
        </w:rPr>
        <w:t>:</w:t>
      </w:r>
      <w:r>
        <w:rPr>
          <w:rFonts w:ascii="Gill Sans MT" w:hAnsi="Gill Sans MT"/>
          <w:sz w:val="24"/>
          <w:szCs w:val="24"/>
        </w:rPr>
        <w:t xml:space="preserve"> 7-10).</w:t>
      </w:r>
    </w:p>
    <w:p w:rsidR="00064EFD" w:rsidRDefault="00064EFD" w:rsidP="0063127B">
      <w:pPr>
        <w:spacing w:after="0"/>
        <w:rPr>
          <w:rFonts w:ascii="Gill Sans MT" w:hAnsi="Gill Sans MT"/>
          <w:sz w:val="24"/>
          <w:szCs w:val="24"/>
        </w:rPr>
      </w:pPr>
    </w:p>
    <w:p w:rsidR="00064EFD" w:rsidRPr="00064EFD" w:rsidRDefault="00064EFD" w:rsidP="0063127B">
      <w:pPr>
        <w:spacing w:after="0"/>
        <w:rPr>
          <w:rFonts w:ascii="Gill Sans MT" w:hAnsi="Gill Sans MT"/>
          <w:sz w:val="24"/>
          <w:szCs w:val="24"/>
        </w:rPr>
      </w:pPr>
    </w:p>
    <w:p w:rsidR="0063127B" w:rsidRPr="00064EFD" w:rsidRDefault="00A95A72" w:rsidP="0063127B">
      <w:pPr>
        <w:spacing w:after="0"/>
        <w:rPr>
          <w:rFonts w:ascii="Gill Sans MT" w:hAnsi="Gill Sans MT"/>
          <w:b/>
          <w:sz w:val="28"/>
          <w:szCs w:val="28"/>
        </w:rPr>
      </w:pPr>
      <w:r w:rsidRPr="00064EFD">
        <w:rPr>
          <w:rFonts w:ascii="Gill Sans MT" w:hAnsi="Gill Sans MT"/>
          <w:b/>
          <w:sz w:val="28"/>
          <w:szCs w:val="28"/>
        </w:rPr>
        <w:t xml:space="preserve">Overview of </w:t>
      </w:r>
      <w:r w:rsidR="0063127B" w:rsidRPr="00064EFD">
        <w:rPr>
          <w:rFonts w:ascii="Gill Sans MT" w:hAnsi="Gill Sans MT"/>
          <w:b/>
          <w:sz w:val="28"/>
          <w:szCs w:val="28"/>
        </w:rPr>
        <w:t>Three Types of Assessment</w:t>
      </w:r>
    </w:p>
    <w:p w:rsidR="00336D56" w:rsidRPr="00064EFD" w:rsidRDefault="00336D56" w:rsidP="0063127B">
      <w:pPr>
        <w:spacing w:after="0"/>
        <w:rPr>
          <w:rFonts w:ascii="Gill Sans MT" w:hAnsi="Gill Sans MT"/>
          <w:sz w:val="24"/>
          <w:szCs w:val="24"/>
        </w:rPr>
      </w:pPr>
      <w:r w:rsidRPr="00064EFD">
        <w:rPr>
          <w:rFonts w:ascii="Gill Sans MT" w:hAnsi="Gill Sans MT"/>
          <w:sz w:val="24"/>
          <w:szCs w:val="24"/>
        </w:rPr>
        <w:t>As an overview to this workshop it is helpful to classify assessment into three different types:</w:t>
      </w:r>
    </w:p>
    <w:p w:rsidR="00336D56" w:rsidRPr="00064EFD" w:rsidRDefault="00336D56" w:rsidP="0063127B">
      <w:pPr>
        <w:spacing w:after="0"/>
        <w:rPr>
          <w:rFonts w:ascii="Gill Sans MT" w:hAnsi="Gill Sans MT"/>
          <w:sz w:val="24"/>
          <w:szCs w:val="24"/>
        </w:rPr>
      </w:pPr>
    </w:p>
    <w:tbl>
      <w:tblPr>
        <w:tblStyle w:val="TableGrid"/>
        <w:tblW w:w="0" w:type="auto"/>
        <w:tblLook w:val="04A0" w:firstRow="1" w:lastRow="0" w:firstColumn="1" w:lastColumn="0" w:noHBand="0" w:noVBand="1"/>
      </w:tblPr>
      <w:tblGrid>
        <w:gridCol w:w="2943"/>
        <w:gridCol w:w="7739"/>
      </w:tblGrid>
      <w:tr w:rsidR="00336D56" w:rsidRPr="00064EFD" w:rsidTr="00064EFD">
        <w:tc>
          <w:tcPr>
            <w:tcW w:w="2943" w:type="dxa"/>
          </w:tcPr>
          <w:p w:rsidR="00336D56" w:rsidRPr="00D07521" w:rsidRDefault="00336D56" w:rsidP="0063127B">
            <w:pPr>
              <w:rPr>
                <w:rFonts w:ascii="Gill Sans MT" w:hAnsi="Gill Sans MT"/>
                <w:b/>
                <w:sz w:val="24"/>
                <w:szCs w:val="24"/>
              </w:rPr>
            </w:pPr>
            <w:r w:rsidRPr="00D07521">
              <w:rPr>
                <w:rFonts w:ascii="Gill Sans MT" w:hAnsi="Gill Sans MT"/>
                <w:b/>
                <w:sz w:val="24"/>
                <w:szCs w:val="24"/>
              </w:rPr>
              <w:t>Assessme</w:t>
            </w:r>
            <w:r w:rsidR="00064EFD" w:rsidRPr="00D07521">
              <w:rPr>
                <w:rFonts w:ascii="Gill Sans MT" w:hAnsi="Gill Sans MT"/>
                <w:b/>
                <w:sz w:val="24"/>
                <w:szCs w:val="24"/>
              </w:rPr>
              <w:t xml:space="preserve">nt </w:t>
            </w:r>
            <w:r w:rsidRPr="00D07521">
              <w:rPr>
                <w:rFonts w:ascii="Gill Sans MT" w:hAnsi="Gill Sans MT"/>
                <w:b/>
                <w:sz w:val="24"/>
                <w:szCs w:val="24"/>
              </w:rPr>
              <w:t>of learning</w:t>
            </w:r>
          </w:p>
          <w:p w:rsidR="00064EFD" w:rsidRDefault="00064EFD" w:rsidP="00D07521">
            <w:pPr>
              <w:pStyle w:val="Default"/>
              <w:rPr>
                <w:rFonts w:ascii="Gill Sans MT" w:hAnsi="Gill Sans MT"/>
              </w:rPr>
            </w:pPr>
            <w:r w:rsidRPr="00D07521">
              <w:rPr>
                <w:rFonts w:ascii="Gill Sans MT" w:hAnsi="Gill Sans MT"/>
              </w:rPr>
              <w:t>(Done by the teacher)</w:t>
            </w:r>
          </w:p>
          <w:p w:rsidR="00D07521" w:rsidRPr="00D07521" w:rsidRDefault="00D07521" w:rsidP="00D07521">
            <w:pPr>
              <w:pStyle w:val="Default"/>
              <w:rPr>
                <w:rFonts w:ascii="Gill Sans MT" w:hAnsi="Gill Sans MT"/>
              </w:rPr>
            </w:pPr>
          </w:p>
        </w:tc>
        <w:tc>
          <w:tcPr>
            <w:tcW w:w="7739" w:type="dxa"/>
          </w:tcPr>
          <w:p w:rsidR="007759F2" w:rsidRDefault="00064EFD" w:rsidP="00064EFD">
            <w:pPr>
              <w:pStyle w:val="Default"/>
              <w:rPr>
                <w:rFonts w:ascii="Gill Sans MT" w:hAnsi="Gill Sans MT"/>
              </w:rPr>
            </w:pPr>
            <w:r w:rsidRPr="00D07521">
              <w:rPr>
                <w:rFonts w:ascii="Gill Sans MT" w:hAnsi="Gill Sans MT"/>
              </w:rPr>
              <w:t xml:space="preserve">Assessing student </w:t>
            </w:r>
            <w:r w:rsidR="00FB6A02" w:rsidRPr="00D07521">
              <w:rPr>
                <w:rFonts w:ascii="Gill Sans MT" w:hAnsi="Gill Sans MT"/>
              </w:rPr>
              <w:t>achievement</w:t>
            </w:r>
            <w:r w:rsidRPr="00D07521">
              <w:rPr>
                <w:rFonts w:ascii="Gill Sans MT" w:hAnsi="Gill Sans MT"/>
              </w:rPr>
              <w:t xml:space="preserve"> against standards.</w:t>
            </w:r>
            <w:r w:rsidR="007759F2">
              <w:rPr>
                <w:rFonts w:ascii="Gill Sans MT" w:hAnsi="Gill Sans MT"/>
              </w:rPr>
              <w:t xml:space="preserve"> </w:t>
            </w:r>
          </w:p>
          <w:p w:rsidR="00064EFD" w:rsidRPr="00D07521" w:rsidRDefault="007759F2" w:rsidP="00064EFD">
            <w:pPr>
              <w:pStyle w:val="Default"/>
              <w:rPr>
                <w:rFonts w:ascii="Gill Sans MT" w:hAnsi="Gill Sans MT"/>
              </w:rPr>
            </w:pPr>
            <w:r>
              <w:rPr>
                <w:rFonts w:ascii="Gill Sans MT" w:hAnsi="Gill Sans MT"/>
              </w:rPr>
              <w:t>(We often use a rating to do this).</w:t>
            </w:r>
            <w:r w:rsidR="00064EFD" w:rsidRPr="00D07521">
              <w:rPr>
                <w:rFonts w:ascii="Gill Sans MT" w:hAnsi="Gill Sans MT"/>
              </w:rPr>
              <w:t xml:space="preserve"> </w:t>
            </w:r>
          </w:p>
          <w:p w:rsidR="00336D56" w:rsidRPr="00D07521" w:rsidRDefault="00336D56" w:rsidP="0063127B">
            <w:pPr>
              <w:rPr>
                <w:rFonts w:ascii="Gill Sans MT" w:hAnsi="Gill Sans MT"/>
                <w:sz w:val="24"/>
                <w:szCs w:val="24"/>
              </w:rPr>
            </w:pPr>
          </w:p>
        </w:tc>
      </w:tr>
      <w:tr w:rsidR="00336D56" w:rsidRPr="00064EFD" w:rsidTr="00064EFD">
        <w:tc>
          <w:tcPr>
            <w:tcW w:w="2943" w:type="dxa"/>
          </w:tcPr>
          <w:p w:rsidR="00336D56" w:rsidRPr="00D07521" w:rsidRDefault="00336D56" w:rsidP="0063127B">
            <w:pPr>
              <w:rPr>
                <w:rFonts w:ascii="Gill Sans MT" w:hAnsi="Gill Sans MT"/>
                <w:b/>
                <w:sz w:val="24"/>
                <w:szCs w:val="24"/>
              </w:rPr>
            </w:pPr>
            <w:r w:rsidRPr="00D07521">
              <w:rPr>
                <w:rFonts w:ascii="Gill Sans MT" w:hAnsi="Gill Sans MT"/>
                <w:b/>
                <w:sz w:val="24"/>
                <w:szCs w:val="24"/>
              </w:rPr>
              <w:t>Assessment for learning</w:t>
            </w:r>
          </w:p>
          <w:p w:rsidR="00064EFD" w:rsidRDefault="00064EFD" w:rsidP="0063127B">
            <w:pPr>
              <w:rPr>
                <w:rFonts w:ascii="Gill Sans MT" w:hAnsi="Gill Sans MT"/>
                <w:sz w:val="24"/>
                <w:szCs w:val="24"/>
              </w:rPr>
            </w:pPr>
            <w:r w:rsidRPr="00D07521">
              <w:rPr>
                <w:rFonts w:ascii="Gill Sans MT" w:hAnsi="Gill Sans MT"/>
                <w:sz w:val="24"/>
                <w:szCs w:val="24"/>
              </w:rPr>
              <w:t>(Done by the teacher)</w:t>
            </w:r>
          </w:p>
          <w:p w:rsidR="00D07521" w:rsidRPr="00D07521" w:rsidRDefault="00D07521" w:rsidP="0063127B">
            <w:pPr>
              <w:rPr>
                <w:rFonts w:ascii="Gill Sans MT" w:hAnsi="Gill Sans MT"/>
                <w:sz w:val="24"/>
                <w:szCs w:val="24"/>
              </w:rPr>
            </w:pPr>
          </w:p>
        </w:tc>
        <w:tc>
          <w:tcPr>
            <w:tcW w:w="7739" w:type="dxa"/>
          </w:tcPr>
          <w:p w:rsidR="00064EFD" w:rsidRPr="00D07521" w:rsidRDefault="00064EFD" w:rsidP="00064EFD">
            <w:pPr>
              <w:pStyle w:val="Default"/>
              <w:rPr>
                <w:rFonts w:ascii="Gill Sans MT" w:hAnsi="Gill Sans MT"/>
              </w:rPr>
            </w:pPr>
            <w:r w:rsidRPr="00D07521">
              <w:rPr>
                <w:rFonts w:ascii="Gill Sans MT" w:hAnsi="Gill Sans MT"/>
              </w:rPr>
              <w:t xml:space="preserve">Analysing student understandings and misconceptions to inform </w:t>
            </w:r>
            <w:r w:rsidR="00FB6A02" w:rsidRPr="00D07521">
              <w:rPr>
                <w:rFonts w:ascii="Gill Sans MT" w:hAnsi="Gill Sans MT"/>
              </w:rPr>
              <w:t>teaching.</w:t>
            </w:r>
          </w:p>
          <w:p w:rsidR="00336D56" w:rsidRPr="00D07521" w:rsidRDefault="00336D56" w:rsidP="0063127B">
            <w:pPr>
              <w:rPr>
                <w:rFonts w:ascii="Gill Sans MT" w:hAnsi="Gill Sans MT"/>
                <w:sz w:val="24"/>
                <w:szCs w:val="24"/>
              </w:rPr>
            </w:pPr>
          </w:p>
        </w:tc>
      </w:tr>
      <w:tr w:rsidR="00336D56" w:rsidRPr="00064EFD" w:rsidTr="00064EFD">
        <w:tc>
          <w:tcPr>
            <w:tcW w:w="2943" w:type="dxa"/>
          </w:tcPr>
          <w:p w:rsidR="00336D56" w:rsidRPr="00D07521" w:rsidRDefault="00336D56" w:rsidP="0063127B">
            <w:pPr>
              <w:rPr>
                <w:rFonts w:ascii="Gill Sans MT" w:hAnsi="Gill Sans MT"/>
                <w:b/>
                <w:sz w:val="24"/>
                <w:szCs w:val="24"/>
              </w:rPr>
            </w:pPr>
            <w:r w:rsidRPr="00D07521">
              <w:rPr>
                <w:rFonts w:ascii="Gill Sans MT" w:hAnsi="Gill Sans MT"/>
                <w:b/>
                <w:sz w:val="24"/>
                <w:szCs w:val="24"/>
              </w:rPr>
              <w:t>Assessment as learning</w:t>
            </w:r>
          </w:p>
          <w:p w:rsidR="00064EFD" w:rsidRDefault="00064EFD" w:rsidP="0063127B">
            <w:pPr>
              <w:rPr>
                <w:rFonts w:ascii="Gill Sans MT" w:hAnsi="Gill Sans MT"/>
                <w:sz w:val="24"/>
                <w:szCs w:val="24"/>
              </w:rPr>
            </w:pPr>
            <w:r w:rsidRPr="00D07521">
              <w:rPr>
                <w:rFonts w:ascii="Gill Sans MT" w:hAnsi="Gill Sans MT"/>
                <w:sz w:val="24"/>
                <w:szCs w:val="24"/>
              </w:rPr>
              <w:t>(Done by the student)</w:t>
            </w:r>
          </w:p>
          <w:p w:rsidR="00D07521" w:rsidRPr="00D07521" w:rsidRDefault="00D07521" w:rsidP="0063127B">
            <w:pPr>
              <w:rPr>
                <w:rFonts w:ascii="Gill Sans MT" w:hAnsi="Gill Sans MT"/>
                <w:sz w:val="24"/>
                <w:szCs w:val="24"/>
              </w:rPr>
            </w:pPr>
          </w:p>
        </w:tc>
        <w:tc>
          <w:tcPr>
            <w:tcW w:w="7739" w:type="dxa"/>
          </w:tcPr>
          <w:p w:rsidR="00336D56" w:rsidRPr="00D07521" w:rsidRDefault="00D07521" w:rsidP="00D07521">
            <w:pPr>
              <w:pStyle w:val="Default"/>
              <w:rPr>
                <w:rFonts w:ascii="Gill Sans MT" w:hAnsi="Gill Sans MT"/>
              </w:rPr>
            </w:pPr>
            <w:r>
              <w:rPr>
                <w:rFonts w:ascii="Gill Sans MT" w:hAnsi="Gill Sans MT"/>
              </w:rPr>
              <w:t>Students</w:t>
            </w:r>
            <w:r w:rsidR="00064EFD" w:rsidRPr="00D07521">
              <w:rPr>
                <w:rFonts w:ascii="Gill Sans MT" w:hAnsi="Gill Sans MT"/>
              </w:rPr>
              <w:t xml:space="preserve"> reflect on and monitor their own progress to </w:t>
            </w:r>
            <w:r>
              <w:rPr>
                <w:rFonts w:ascii="Gill Sans MT" w:hAnsi="Gill Sans MT"/>
              </w:rPr>
              <w:t xml:space="preserve">celebrate achievement and </w:t>
            </w:r>
            <w:r w:rsidR="00064EFD" w:rsidRPr="00D07521">
              <w:rPr>
                <w:rFonts w:ascii="Gill Sans MT" w:hAnsi="Gill Sans MT"/>
              </w:rPr>
              <w:t>inform</w:t>
            </w:r>
            <w:r>
              <w:rPr>
                <w:rFonts w:ascii="Gill Sans MT" w:hAnsi="Gill Sans MT"/>
              </w:rPr>
              <w:t xml:space="preserve"> their future learning goals.</w:t>
            </w:r>
            <w:r w:rsidR="00064EFD" w:rsidRPr="00D07521">
              <w:rPr>
                <w:rFonts w:ascii="Gill Sans MT" w:hAnsi="Gill Sans MT"/>
              </w:rPr>
              <w:t xml:space="preserve"> </w:t>
            </w:r>
          </w:p>
        </w:tc>
      </w:tr>
    </w:tbl>
    <w:p w:rsidR="00336D56" w:rsidRDefault="00336D56" w:rsidP="0063127B">
      <w:pPr>
        <w:spacing w:after="0"/>
        <w:rPr>
          <w:rFonts w:ascii="Gill Sans MT" w:hAnsi="Gill Sans MT"/>
          <w:sz w:val="24"/>
          <w:szCs w:val="24"/>
        </w:rPr>
      </w:pPr>
    </w:p>
    <w:p w:rsidR="00D07521" w:rsidRDefault="00D07521" w:rsidP="0063127B">
      <w:pPr>
        <w:spacing w:after="0"/>
        <w:rPr>
          <w:rFonts w:ascii="Gill Sans MT" w:hAnsi="Gill Sans MT"/>
          <w:sz w:val="24"/>
          <w:szCs w:val="24"/>
        </w:rPr>
      </w:pPr>
      <w:r>
        <w:rPr>
          <w:rFonts w:ascii="Gill Sans MT" w:hAnsi="Gill Sans MT"/>
          <w:sz w:val="24"/>
          <w:szCs w:val="24"/>
        </w:rPr>
        <w:t>The relative importance of each type of assessment is represented in the following diagram:</w:t>
      </w:r>
    </w:p>
    <w:p w:rsidR="00D07521" w:rsidRDefault="00D07521" w:rsidP="0063127B">
      <w:pPr>
        <w:spacing w:after="0"/>
        <w:rPr>
          <w:rFonts w:ascii="Gill Sans MT" w:hAnsi="Gill Sans MT"/>
          <w:sz w:val="24"/>
          <w:szCs w:val="24"/>
        </w:rPr>
      </w:pPr>
    </w:p>
    <w:p w:rsidR="00D07521" w:rsidRPr="00064EFD" w:rsidRDefault="00993CD2" w:rsidP="0063127B">
      <w:pPr>
        <w:spacing w:after="0"/>
        <w:rPr>
          <w:rFonts w:ascii="Gill Sans MT" w:hAnsi="Gill Sans MT"/>
          <w:sz w:val="24"/>
          <w:szCs w:val="24"/>
        </w:rPr>
      </w:pPr>
      <w:r>
        <w:rPr>
          <w:rFonts w:ascii="Gill Sans MT" w:hAnsi="Gill Sans MT"/>
          <w:noProof/>
          <w:sz w:val="24"/>
          <w:szCs w:val="24"/>
          <w:lang w:eastAsia="en-AU"/>
        </w:rPr>
        <w:drawing>
          <wp:inline distT="0" distB="0" distL="0" distR="0" wp14:anchorId="7B80ABD2" wp14:editId="124C80F1">
            <wp:extent cx="5486400" cy="3200400"/>
            <wp:effectExtent l="0" t="0" r="19050" b="38100"/>
            <wp:docPr id="2" name="Diagram 2"/>
            <wp:cNvGraphicFramePr/>
            <a:graphic xmlns:a="http://schemas.openxmlformats.org/drawingml/2006/main">
              <a:graphicData uri="http://schemas.openxmlformats.org/drawingml/2006/diagram">
                <dgm:relIds xmlns:dgm="http://schemas.openxmlformats.org/drawingml/2006/diagram" xmlns:r="http://schemas.openxmlformats.org/officeDocument/2006/relationships" r:dm="rId8" r:lo="rId9" r:qs="rId10" r:cs="rId11"/>
              </a:graphicData>
            </a:graphic>
          </wp:inline>
        </w:drawing>
      </w:r>
    </w:p>
    <w:p w:rsidR="00993CD2" w:rsidRDefault="00993CD2" w:rsidP="0063127B">
      <w:pPr>
        <w:spacing w:after="0"/>
        <w:rPr>
          <w:rFonts w:ascii="Gill Sans MT" w:hAnsi="Gill Sans MT"/>
          <w:b/>
          <w:sz w:val="28"/>
          <w:szCs w:val="28"/>
        </w:rPr>
      </w:pPr>
    </w:p>
    <w:p w:rsidR="00993CD2" w:rsidRPr="00496F71" w:rsidRDefault="00496F71" w:rsidP="0063127B">
      <w:pPr>
        <w:spacing w:after="0"/>
        <w:rPr>
          <w:rFonts w:ascii="Gill Sans MT" w:hAnsi="Gill Sans MT"/>
          <w:sz w:val="24"/>
          <w:szCs w:val="24"/>
        </w:rPr>
      </w:pPr>
      <w:r>
        <w:rPr>
          <w:rFonts w:ascii="Gill Sans MT" w:hAnsi="Gill Sans MT"/>
          <w:sz w:val="24"/>
          <w:szCs w:val="24"/>
        </w:rPr>
        <w:t>Although today’s workshop is totally focused on assessment of learning it is important to realise that this is the least important type of assessment. Yes it is important that we use assessment of learning every so often so that we can rate student achievement against standards, especially for the purpose of reporting. However, assessment of learning is the assessment that we should spend the least amount of time on out of these three types of assessment</w:t>
      </w:r>
      <w:r w:rsidR="007759F2">
        <w:rPr>
          <w:rFonts w:ascii="Gill Sans MT" w:hAnsi="Gill Sans MT"/>
          <w:sz w:val="24"/>
          <w:szCs w:val="24"/>
        </w:rPr>
        <w:t>.</w:t>
      </w:r>
      <w:r>
        <w:rPr>
          <w:rFonts w:ascii="Gill Sans MT" w:hAnsi="Gill Sans MT"/>
          <w:sz w:val="24"/>
          <w:szCs w:val="24"/>
        </w:rPr>
        <w:t xml:space="preserve"> </w:t>
      </w:r>
      <w:r w:rsidR="007759F2">
        <w:rPr>
          <w:rFonts w:ascii="Gill Sans MT" w:hAnsi="Gill Sans MT"/>
          <w:sz w:val="24"/>
          <w:szCs w:val="24"/>
        </w:rPr>
        <w:t>H</w:t>
      </w:r>
      <w:r>
        <w:rPr>
          <w:rFonts w:ascii="Gill Sans MT" w:hAnsi="Gill Sans MT"/>
          <w:sz w:val="24"/>
          <w:szCs w:val="24"/>
        </w:rPr>
        <w:t>opefully today’s workshop will help us to make</w:t>
      </w:r>
      <w:r w:rsidR="00740612">
        <w:rPr>
          <w:rFonts w:ascii="Gill Sans MT" w:hAnsi="Gill Sans MT"/>
          <w:sz w:val="24"/>
          <w:szCs w:val="24"/>
        </w:rPr>
        <w:t xml:space="preserve"> efficient (and of course accurate) judgements</w:t>
      </w:r>
      <w:r w:rsidR="004725AA">
        <w:rPr>
          <w:rFonts w:ascii="Gill Sans MT" w:hAnsi="Gill Sans MT"/>
          <w:sz w:val="24"/>
          <w:szCs w:val="24"/>
        </w:rPr>
        <w:t xml:space="preserve"> during our</w:t>
      </w:r>
      <w:r w:rsidR="00740612">
        <w:rPr>
          <w:rFonts w:ascii="Gill Sans MT" w:hAnsi="Gill Sans MT"/>
          <w:sz w:val="24"/>
          <w:szCs w:val="24"/>
        </w:rPr>
        <w:t xml:space="preserve"> assessment of learning so that we can devote far more time to assessment for learning and helping students to build their competence in assessment as learning.</w:t>
      </w:r>
    </w:p>
    <w:p w:rsidR="00993CD2" w:rsidRDefault="00993CD2" w:rsidP="0063127B">
      <w:pPr>
        <w:spacing w:after="0"/>
        <w:rPr>
          <w:rFonts w:ascii="Gill Sans MT" w:hAnsi="Gill Sans MT"/>
          <w:b/>
          <w:sz w:val="28"/>
          <w:szCs w:val="28"/>
        </w:rPr>
      </w:pPr>
    </w:p>
    <w:p w:rsidR="0063127B" w:rsidRPr="00064EFD" w:rsidRDefault="0063127B" w:rsidP="0063127B">
      <w:pPr>
        <w:spacing w:after="0"/>
        <w:rPr>
          <w:rFonts w:ascii="Gill Sans MT" w:hAnsi="Gill Sans MT"/>
          <w:b/>
          <w:sz w:val="28"/>
          <w:szCs w:val="28"/>
        </w:rPr>
      </w:pPr>
      <w:r w:rsidRPr="00064EFD">
        <w:rPr>
          <w:rFonts w:ascii="Gill Sans MT" w:hAnsi="Gill Sans MT"/>
          <w:b/>
          <w:sz w:val="28"/>
          <w:szCs w:val="28"/>
        </w:rPr>
        <w:t>Differences That Enable Us to Rate</w:t>
      </w:r>
      <w:r w:rsidR="00336D56" w:rsidRPr="00064EFD">
        <w:rPr>
          <w:rFonts w:ascii="Gill Sans MT" w:hAnsi="Gill Sans MT"/>
          <w:b/>
          <w:sz w:val="28"/>
          <w:szCs w:val="28"/>
        </w:rPr>
        <w:t xml:space="preserve"> Student Performances of Understanding</w:t>
      </w:r>
      <w:r w:rsidRPr="00064EFD">
        <w:rPr>
          <w:rFonts w:ascii="Gill Sans MT" w:hAnsi="Gill Sans MT"/>
          <w:b/>
          <w:sz w:val="28"/>
          <w:szCs w:val="28"/>
        </w:rPr>
        <w:t xml:space="preserve"> </w:t>
      </w:r>
    </w:p>
    <w:p w:rsidR="00336D56" w:rsidRDefault="000C211C" w:rsidP="0063127B">
      <w:pPr>
        <w:spacing w:after="0"/>
        <w:rPr>
          <w:rFonts w:ascii="Gill Sans MT" w:hAnsi="Gill Sans MT"/>
          <w:sz w:val="24"/>
          <w:szCs w:val="24"/>
        </w:rPr>
      </w:pPr>
      <w:r>
        <w:rPr>
          <w:rFonts w:ascii="Gill Sans MT" w:hAnsi="Gill Sans MT"/>
          <w:sz w:val="24"/>
          <w:szCs w:val="24"/>
        </w:rPr>
        <w:t>To help</w:t>
      </w:r>
      <w:r w:rsidR="007759F2">
        <w:rPr>
          <w:rFonts w:ascii="Gill Sans MT" w:hAnsi="Gill Sans MT"/>
          <w:sz w:val="24"/>
          <w:szCs w:val="24"/>
        </w:rPr>
        <w:t xml:space="preserve"> rate student performances of understanding against standards </w:t>
      </w:r>
      <w:r>
        <w:rPr>
          <w:rFonts w:ascii="Gill Sans MT" w:hAnsi="Gill Sans MT"/>
          <w:sz w:val="24"/>
          <w:szCs w:val="24"/>
        </w:rPr>
        <w:t>we can look for</w:t>
      </w:r>
      <w:r w:rsidR="00930442">
        <w:rPr>
          <w:rFonts w:ascii="Gill Sans MT" w:hAnsi="Gill Sans MT"/>
          <w:sz w:val="24"/>
          <w:szCs w:val="24"/>
        </w:rPr>
        <w:t xml:space="preserve"> a student’s</w:t>
      </w:r>
      <w:r w:rsidR="00F469FD">
        <w:rPr>
          <w:rFonts w:ascii="Gill Sans MT" w:hAnsi="Gill Sans MT"/>
          <w:sz w:val="24"/>
          <w:szCs w:val="24"/>
        </w:rPr>
        <w:t>:</w:t>
      </w:r>
      <w:r>
        <w:rPr>
          <w:rFonts w:ascii="Gill Sans MT" w:hAnsi="Gill Sans MT"/>
          <w:sz w:val="24"/>
          <w:szCs w:val="24"/>
        </w:rPr>
        <w:t xml:space="preserve"> </w:t>
      </w:r>
    </w:p>
    <w:p w:rsidR="00C25875" w:rsidRDefault="00C25875" w:rsidP="00C25875">
      <w:pPr>
        <w:pStyle w:val="ListParagraph"/>
        <w:numPr>
          <w:ilvl w:val="0"/>
          <w:numId w:val="1"/>
        </w:numPr>
        <w:spacing w:after="0"/>
        <w:rPr>
          <w:rFonts w:ascii="Gill Sans MT" w:hAnsi="Gill Sans MT"/>
          <w:sz w:val="24"/>
          <w:szCs w:val="24"/>
        </w:rPr>
      </w:pPr>
      <w:r>
        <w:rPr>
          <w:rFonts w:ascii="Gill Sans MT" w:hAnsi="Gill Sans MT"/>
          <w:sz w:val="24"/>
          <w:szCs w:val="24"/>
        </w:rPr>
        <w:t xml:space="preserve">Conceptual </w:t>
      </w:r>
      <w:r w:rsidR="000C211C">
        <w:rPr>
          <w:rFonts w:ascii="Gill Sans MT" w:hAnsi="Gill Sans MT"/>
          <w:sz w:val="24"/>
          <w:szCs w:val="24"/>
        </w:rPr>
        <w:t>level</w:t>
      </w:r>
      <w:r w:rsidR="00AA2326">
        <w:rPr>
          <w:rFonts w:ascii="Gill Sans MT" w:hAnsi="Gill Sans MT"/>
          <w:sz w:val="24"/>
          <w:szCs w:val="24"/>
        </w:rPr>
        <w:t xml:space="preserve"> (i.e. how hard is it?)</w:t>
      </w:r>
    </w:p>
    <w:p w:rsidR="00C25875" w:rsidRDefault="00C25875" w:rsidP="00C25875">
      <w:pPr>
        <w:pStyle w:val="ListParagraph"/>
        <w:numPr>
          <w:ilvl w:val="0"/>
          <w:numId w:val="1"/>
        </w:numPr>
        <w:spacing w:after="0"/>
        <w:rPr>
          <w:rFonts w:ascii="Gill Sans MT" w:hAnsi="Gill Sans MT"/>
          <w:sz w:val="24"/>
          <w:szCs w:val="24"/>
        </w:rPr>
      </w:pPr>
      <w:r>
        <w:rPr>
          <w:rFonts w:ascii="Gill Sans MT" w:hAnsi="Gill Sans MT"/>
          <w:sz w:val="24"/>
          <w:szCs w:val="24"/>
        </w:rPr>
        <w:t>Proficiency</w:t>
      </w:r>
      <w:r w:rsidR="000C211C">
        <w:rPr>
          <w:rFonts w:ascii="Gill Sans MT" w:hAnsi="Gill Sans MT"/>
          <w:sz w:val="24"/>
          <w:szCs w:val="24"/>
        </w:rPr>
        <w:t xml:space="preserve"> level</w:t>
      </w:r>
      <w:r w:rsidR="00AA2326">
        <w:rPr>
          <w:rFonts w:ascii="Gill Sans MT" w:hAnsi="Gill Sans MT"/>
          <w:sz w:val="24"/>
          <w:szCs w:val="24"/>
        </w:rPr>
        <w:t xml:space="preserve"> (i.e. how well do you do it?)</w:t>
      </w:r>
    </w:p>
    <w:p w:rsidR="009D21DB" w:rsidRDefault="009D21DB" w:rsidP="009D21DB">
      <w:pPr>
        <w:spacing w:after="0"/>
        <w:rPr>
          <w:rFonts w:ascii="Gill Sans MT" w:hAnsi="Gill Sans MT"/>
          <w:sz w:val="24"/>
          <w:szCs w:val="24"/>
        </w:rPr>
      </w:pPr>
    </w:p>
    <w:p w:rsidR="009D21DB" w:rsidRDefault="009D21DB" w:rsidP="009D21DB">
      <w:pPr>
        <w:spacing w:after="0"/>
        <w:rPr>
          <w:rFonts w:ascii="Gill Sans MT" w:hAnsi="Gill Sans MT"/>
          <w:sz w:val="24"/>
          <w:szCs w:val="24"/>
        </w:rPr>
      </w:pPr>
      <w:r>
        <w:rPr>
          <w:rFonts w:ascii="Gill Sans MT" w:hAnsi="Gill Sans MT"/>
          <w:sz w:val="24"/>
          <w:szCs w:val="24"/>
        </w:rPr>
        <w:t xml:space="preserve">If one student performance of understanding exhibits a higher level of conceptual understanding than another then the first </w:t>
      </w:r>
      <w:r w:rsidR="00930442">
        <w:rPr>
          <w:rFonts w:ascii="Gill Sans MT" w:hAnsi="Gill Sans MT"/>
          <w:sz w:val="24"/>
          <w:szCs w:val="24"/>
        </w:rPr>
        <w:t>might possibly</w:t>
      </w:r>
      <w:r>
        <w:rPr>
          <w:rFonts w:ascii="Gill Sans MT" w:hAnsi="Gill Sans MT"/>
          <w:sz w:val="24"/>
          <w:szCs w:val="24"/>
        </w:rPr>
        <w:t xml:space="preserve"> be rated high</w:t>
      </w:r>
      <w:r w:rsidR="00930442">
        <w:rPr>
          <w:rFonts w:ascii="Gill Sans MT" w:hAnsi="Gill Sans MT"/>
          <w:sz w:val="24"/>
          <w:szCs w:val="24"/>
        </w:rPr>
        <w:t xml:space="preserve">er if there was enough difference (i.e. </w:t>
      </w:r>
      <w:r w:rsidR="008F1E26">
        <w:rPr>
          <w:rFonts w:ascii="Gill Sans MT" w:hAnsi="Gill Sans MT"/>
          <w:sz w:val="24"/>
          <w:szCs w:val="24"/>
        </w:rPr>
        <w:t>“if you can do harder stuff you will get a higher rating”).</w:t>
      </w:r>
    </w:p>
    <w:p w:rsidR="000C211C" w:rsidRDefault="000C211C" w:rsidP="009D21DB">
      <w:pPr>
        <w:spacing w:after="0"/>
        <w:rPr>
          <w:rFonts w:ascii="Gill Sans MT" w:hAnsi="Gill Sans MT"/>
          <w:sz w:val="24"/>
          <w:szCs w:val="24"/>
        </w:rPr>
      </w:pPr>
    </w:p>
    <w:p w:rsidR="000C211C" w:rsidRPr="009D21DB" w:rsidRDefault="000C211C" w:rsidP="009D21DB">
      <w:pPr>
        <w:spacing w:after="0"/>
        <w:rPr>
          <w:rFonts w:ascii="Gill Sans MT" w:hAnsi="Gill Sans MT"/>
          <w:sz w:val="24"/>
          <w:szCs w:val="24"/>
        </w:rPr>
      </w:pPr>
      <w:r>
        <w:rPr>
          <w:rFonts w:ascii="Gill Sans MT" w:hAnsi="Gill Sans MT"/>
          <w:sz w:val="24"/>
          <w:szCs w:val="24"/>
        </w:rPr>
        <w:t>If two student performances of understanding were both at the same conceptual level but the first showed greater proficiency th</w:t>
      </w:r>
      <w:r w:rsidR="00930442">
        <w:rPr>
          <w:rFonts w:ascii="Gill Sans MT" w:hAnsi="Gill Sans MT"/>
          <w:sz w:val="24"/>
          <w:szCs w:val="24"/>
        </w:rPr>
        <w:t>en the first might possibly be rated higher</w:t>
      </w:r>
      <w:r w:rsidR="008F1E26">
        <w:rPr>
          <w:rFonts w:ascii="Gill Sans MT" w:hAnsi="Gill Sans MT"/>
          <w:sz w:val="24"/>
          <w:szCs w:val="24"/>
        </w:rPr>
        <w:t xml:space="preserve"> if there was enough difference (i.e. “if you do the same stuff but you do it better you will get a higher rating”).</w:t>
      </w:r>
    </w:p>
    <w:p w:rsidR="00C25875" w:rsidRPr="00C25875" w:rsidRDefault="00C25875" w:rsidP="00C25875">
      <w:pPr>
        <w:pStyle w:val="ListParagraph"/>
        <w:spacing w:after="0"/>
        <w:rPr>
          <w:rFonts w:ascii="Gill Sans MT" w:hAnsi="Gill Sans MT"/>
          <w:sz w:val="24"/>
          <w:szCs w:val="24"/>
        </w:rPr>
      </w:pPr>
    </w:p>
    <w:p w:rsidR="0063127B" w:rsidRDefault="0063127B" w:rsidP="0063127B">
      <w:pPr>
        <w:spacing w:after="0"/>
        <w:rPr>
          <w:rFonts w:ascii="Gill Sans MT" w:hAnsi="Gill Sans MT"/>
          <w:b/>
          <w:sz w:val="28"/>
          <w:szCs w:val="28"/>
        </w:rPr>
      </w:pPr>
      <w:r w:rsidRPr="00064EFD">
        <w:rPr>
          <w:rFonts w:ascii="Gill Sans MT" w:hAnsi="Gill Sans MT"/>
          <w:b/>
          <w:sz w:val="28"/>
          <w:szCs w:val="28"/>
        </w:rPr>
        <w:t>Differences in Conceptual Understanding</w:t>
      </w:r>
    </w:p>
    <w:p w:rsidR="008F1E26" w:rsidRDefault="00930442" w:rsidP="0063127B">
      <w:pPr>
        <w:spacing w:after="0"/>
        <w:rPr>
          <w:rFonts w:ascii="Gill Sans MT" w:hAnsi="Gill Sans MT"/>
          <w:sz w:val="24"/>
          <w:szCs w:val="24"/>
        </w:rPr>
      </w:pPr>
      <w:r>
        <w:rPr>
          <w:rFonts w:ascii="Gill Sans MT" w:hAnsi="Gill Sans MT"/>
          <w:sz w:val="24"/>
          <w:szCs w:val="24"/>
        </w:rPr>
        <w:t>The achievement standards in the Australian Curriculum indicate the conceptual level of understanding required in order to achieve a C at the relevant grade level. For example, the conceptual demand of the Grade 8 achievement standard is higher than that for Grade 7. In other words, the knowledge and skill expectations of Grade 8 students are higher than for Grade 7.</w:t>
      </w:r>
    </w:p>
    <w:p w:rsidR="008F1E26" w:rsidRDefault="008F1E26" w:rsidP="0063127B">
      <w:pPr>
        <w:spacing w:after="0"/>
        <w:rPr>
          <w:rFonts w:ascii="Gill Sans MT" w:hAnsi="Gill Sans MT"/>
          <w:sz w:val="24"/>
          <w:szCs w:val="24"/>
        </w:rPr>
      </w:pPr>
    </w:p>
    <w:p w:rsidR="009A4563" w:rsidRDefault="008F1E26" w:rsidP="0063127B">
      <w:pPr>
        <w:spacing w:after="0"/>
        <w:rPr>
          <w:rFonts w:ascii="Gill Sans MT" w:hAnsi="Gill Sans MT"/>
          <w:sz w:val="24"/>
          <w:szCs w:val="24"/>
        </w:rPr>
      </w:pPr>
      <w:r>
        <w:rPr>
          <w:rFonts w:ascii="Gill Sans MT" w:hAnsi="Gill Sans MT"/>
          <w:sz w:val="24"/>
          <w:szCs w:val="24"/>
        </w:rPr>
        <w:t xml:space="preserve">Our maths team was clear about the conceptual differences in achievement standards between grades but we wondered if there were differences in conceptual understanding required for A, B, C, D and E ratings within a single grade. To analyse this we looked for content in the curriculum that was not named up in the achievement standard for Grades 7, 8, 9 and 10. Our conclusions are in the second handout entitled “Maths Assessment Standards 2012 (Generated </w:t>
      </w:r>
      <w:r w:rsidR="00F469FD">
        <w:rPr>
          <w:rFonts w:ascii="Gill Sans MT" w:hAnsi="Gill Sans MT"/>
          <w:sz w:val="24"/>
          <w:szCs w:val="24"/>
        </w:rPr>
        <w:t>in April 2012 and revised</w:t>
      </w:r>
      <w:r>
        <w:rPr>
          <w:rFonts w:ascii="Gill Sans MT" w:hAnsi="Gill Sans MT"/>
          <w:sz w:val="24"/>
          <w:szCs w:val="24"/>
        </w:rPr>
        <w:t xml:space="preserve"> in March 2013).</w:t>
      </w:r>
      <w:r w:rsidR="009A4563">
        <w:rPr>
          <w:rFonts w:ascii="Gill Sans MT" w:hAnsi="Gill Sans MT"/>
          <w:sz w:val="24"/>
          <w:szCs w:val="24"/>
        </w:rPr>
        <w:t>”</w:t>
      </w:r>
      <w:r w:rsidR="00930442">
        <w:rPr>
          <w:rFonts w:ascii="Gill Sans MT" w:hAnsi="Gill Sans MT"/>
          <w:sz w:val="24"/>
          <w:szCs w:val="24"/>
        </w:rPr>
        <w:t xml:space="preserve"> </w:t>
      </w:r>
    </w:p>
    <w:p w:rsidR="009A4563" w:rsidRDefault="009A4563" w:rsidP="0063127B">
      <w:pPr>
        <w:spacing w:after="0"/>
        <w:rPr>
          <w:rFonts w:ascii="Gill Sans MT" w:hAnsi="Gill Sans MT"/>
          <w:sz w:val="24"/>
          <w:szCs w:val="24"/>
        </w:rPr>
      </w:pPr>
      <w:r>
        <w:rPr>
          <w:rFonts w:ascii="Gill Sans MT" w:hAnsi="Gill Sans MT"/>
          <w:sz w:val="24"/>
          <w:szCs w:val="24"/>
        </w:rPr>
        <w:t>Please note:</w:t>
      </w:r>
    </w:p>
    <w:p w:rsidR="009A4563" w:rsidRDefault="009A4563" w:rsidP="009A4563">
      <w:pPr>
        <w:pStyle w:val="ListParagraph"/>
        <w:numPr>
          <w:ilvl w:val="0"/>
          <w:numId w:val="2"/>
        </w:numPr>
        <w:spacing w:after="0"/>
        <w:rPr>
          <w:rFonts w:ascii="Gill Sans MT" w:hAnsi="Gill Sans MT"/>
          <w:sz w:val="24"/>
          <w:szCs w:val="24"/>
        </w:rPr>
      </w:pPr>
      <w:r w:rsidRPr="009A4563">
        <w:rPr>
          <w:rFonts w:ascii="Gill Sans MT" w:hAnsi="Gill Sans MT"/>
          <w:sz w:val="24"/>
          <w:szCs w:val="24"/>
        </w:rPr>
        <w:t xml:space="preserve">When we put B or </w:t>
      </w:r>
      <w:proofErr w:type="gramStart"/>
      <w:r w:rsidRPr="009A4563">
        <w:rPr>
          <w:rFonts w:ascii="Gill Sans MT" w:hAnsi="Gill Sans MT"/>
          <w:sz w:val="24"/>
          <w:szCs w:val="24"/>
        </w:rPr>
        <w:t>A</w:t>
      </w:r>
      <w:proofErr w:type="gramEnd"/>
      <w:r w:rsidRPr="009A4563">
        <w:rPr>
          <w:rFonts w:ascii="Gill Sans MT" w:hAnsi="Gill Sans MT"/>
          <w:sz w:val="24"/>
          <w:szCs w:val="24"/>
        </w:rPr>
        <w:t xml:space="preserve"> in brackets after particular indicators, this was our opinion, not official ACARA documentation.</w:t>
      </w:r>
    </w:p>
    <w:p w:rsidR="00930442" w:rsidRDefault="009A4563" w:rsidP="009A4563">
      <w:pPr>
        <w:pStyle w:val="ListParagraph"/>
        <w:numPr>
          <w:ilvl w:val="0"/>
          <w:numId w:val="2"/>
        </w:numPr>
        <w:spacing w:after="0"/>
        <w:rPr>
          <w:rFonts w:ascii="Gill Sans MT" w:hAnsi="Gill Sans MT"/>
          <w:sz w:val="24"/>
          <w:szCs w:val="24"/>
        </w:rPr>
      </w:pPr>
      <w:r>
        <w:rPr>
          <w:rFonts w:ascii="Gill Sans MT" w:hAnsi="Gill Sans MT"/>
          <w:sz w:val="24"/>
          <w:szCs w:val="24"/>
        </w:rPr>
        <w:t>T</w:t>
      </w:r>
      <w:r w:rsidRPr="009A4563">
        <w:rPr>
          <w:rFonts w:ascii="Gill Sans MT" w:hAnsi="Gill Sans MT"/>
          <w:sz w:val="24"/>
          <w:szCs w:val="24"/>
        </w:rPr>
        <w:t xml:space="preserve">his document is not the </w:t>
      </w:r>
      <w:proofErr w:type="gramStart"/>
      <w:r w:rsidRPr="009A4563">
        <w:rPr>
          <w:rFonts w:ascii="Gill Sans MT" w:hAnsi="Gill Sans MT"/>
          <w:sz w:val="24"/>
          <w:szCs w:val="24"/>
        </w:rPr>
        <w:t>curriculum,</w:t>
      </w:r>
      <w:proofErr w:type="gramEnd"/>
      <w:r w:rsidRPr="009A4563">
        <w:rPr>
          <w:rFonts w:ascii="Gill Sans MT" w:hAnsi="Gill Sans MT"/>
          <w:sz w:val="24"/>
          <w:szCs w:val="24"/>
        </w:rPr>
        <w:t xml:space="preserve"> it is only to provide indicators tha</w:t>
      </w:r>
      <w:r w:rsidR="004725AA">
        <w:rPr>
          <w:rFonts w:ascii="Gill Sans MT" w:hAnsi="Gill Sans MT"/>
          <w:sz w:val="24"/>
          <w:szCs w:val="24"/>
        </w:rPr>
        <w:t xml:space="preserve">t point towards A, B or C </w:t>
      </w:r>
      <w:r w:rsidRPr="009A4563">
        <w:rPr>
          <w:rFonts w:ascii="Gill Sans MT" w:hAnsi="Gill Sans MT"/>
          <w:sz w:val="24"/>
          <w:szCs w:val="24"/>
        </w:rPr>
        <w:t xml:space="preserve">ratings when we </w:t>
      </w:r>
      <w:r w:rsidR="004725AA">
        <w:rPr>
          <w:rFonts w:ascii="Gill Sans MT" w:hAnsi="Gill Sans MT"/>
          <w:sz w:val="24"/>
          <w:szCs w:val="24"/>
        </w:rPr>
        <w:t>are rating student performances</w:t>
      </w:r>
      <w:r w:rsidRPr="009A4563">
        <w:rPr>
          <w:rFonts w:ascii="Gill Sans MT" w:hAnsi="Gill Sans MT"/>
          <w:sz w:val="24"/>
          <w:szCs w:val="24"/>
        </w:rPr>
        <w:t>.</w:t>
      </w:r>
    </w:p>
    <w:p w:rsidR="009A4563" w:rsidRPr="009A4563" w:rsidRDefault="00E711E2" w:rsidP="009A4563">
      <w:pPr>
        <w:pStyle w:val="ListParagraph"/>
        <w:numPr>
          <w:ilvl w:val="0"/>
          <w:numId w:val="2"/>
        </w:numPr>
        <w:spacing w:after="0"/>
        <w:rPr>
          <w:rFonts w:ascii="Gill Sans MT" w:hAnsi="Gill Sans MT"/>
          <w:sz w:val="24"/>
          <w:szCs w:val="24"/>
        </w:rPr>
      </w:pPr>
      <w:r>
        <w:rPr>
          <w:rFonts w:ascii="Gill Sans MT" w:hAnsi="Gill Sans MT"/>
          <w:sz w:val="24"/>
          <w:szCs w:val="24"/>
        </w:rPr>
        <w:t xml:space="preserve">Just because indicators are described in dot </w:t>
      </w:r>
      <w:proofErr w:type="gramStart"/>
      <w:r>
        <w:rPr>
          <w:rFonts w:ascii="Gill Sans MT" w:hAnsi="Gill Sans MT"/>
          <w:sz w:val="24"/>
          <w:szCs w:val="24"/>
        </w:rPr>
        <w:t>points that does</w:t>
      </w:r>
      <w:proofErr w:type="gramEnd"/>
      <w:r>
        <w:rPr>
          <w:rFonts w:ascii="Gill Sans MT" w:hAnsi="Gill Sans MT"/>
          <w:sz w:val="24"/>
          <w:szCs w:val="24"/>
        </w:rPr>
        <w:t xml:space="preserve"> not mean that we go through each single dot point teaching it and testing it in isolation. We should expect that students can exhibit the </w:t>
      </w:r>
      <w:r w:rsidR="004725AA">
        <w:rPr>
          <w:rFonts w:ascii="Gill Sans MT" w:hAnsi="Gill Sans MT"/>
          <w:sz w:val="24"/>
          <w:szCs w:val="24"/>
        </w:rPr>
        <w:t>indicators in a wide variety of performances of understanding. If, for example, a student exhibits the number indicators during a test on number but not at any other time then they haven’t really exhibited a sound understanding of these indicators.</w:t>
      </w:r>
    </w:p>
    <w:p w:rsidR="009A4563" w:rsidRDefault="009A4563" w:rsidP="0063127B">
      <w:pPr>
        <w:spacing w:after="0"/>
        <w:rPr>
          <w:rFonts w:ascii="Gill Sans MT" w:hAnsi="Gill Sans MT"/>
          <w:sz w:val="24"/>
          <w:szCs w:val="24"/>
        </w:rPr>
      </w:pPr>
    </w:p>
    <w:p w:rsidR="009A4563" w:rsidRPr="00930442" w:rsidRDefault="009A4563" w:rsidP="0063127B">
      <w:pPr>
        <w:spacing w:after="0"/>
        <w:rPr>
          <w:rFonts w:ascii="Gill Sans MT" w:hAnsi="Gill Sans MT"/>
          <w:sz w:val="24"/>
          <w:szCs w:val="24"/>
        </w:rPr>
      </w:pPr>
      <w:r>
        <w:rPr>
          <w:rFonts w:ascii="Gill Sans MT" w:hAnsi="Gill Sans MT"/>
          <w:sz w:val="24"/>
          <w:szCs w:val="24"/>
        </w:rPr>
        <w:t xml:space="preserve">As you can see there were some indicators of B or A standard performance from some aspects of content that were not present in the achievement standard, </w:t>
      </w:r>
      <w:r w:rsidR="00C32335">
        <w:rPr>
          <w:rFonts w:ascii="Gill Sans MT" w:hAnsi="Gill Sans MT"/>
          <w:sz w:val="24"/>
          <w:szCs w:val="24"/>
        </w:rPr>
        <w:t xml:space="preserve">not many in Grades 7 and 8 but </w:t>
      </w:r>
      <w:r>
        <w:rPr>
          <w:rFonts w:ascii="Gill Sans MT" w:hAnsi="Gill Sans MT"/>
          <w:sz w:val="24"/>
          <w:szCs w:val="24"/>
        </w:rPr>
        <w:t>more so in Grades 9 and 10.</w:t>
      </w:r>
    </w:p>
    <w:p w:rsidR="00336D56" w:rsidRPr="00064EFD" w:rsidRDefault="00336D56" w:rsidP="0063127B">
      <w:pPr>
        <w:spacing w:after="0"/>
        <w:rPr>
          <w:rFonts w:ascii="Gill Sans MT" w:hAnsi="Gill Sans MT"/>
          <w:b/>
          <w:sz w:val="24"/>
          <w:szCs w:val="24"/>
        </w:rPr>
      </w:pPr>
    </w:p>
    <w:p w:rsidR="00F469FD" w:rsidRDefault="00F469FD" w:rsidP="0063127B">
      <w:pPr>
        <w:spacing w:after="0"/>
        <w:rPr>
          <w:rFonts w:ascii="Gill Sans MT" w:hAnsi="Gill Sans MT"/>
          <w:b/>
          <w:sz w:val="28"/>
          <w:szCs w:val="28"/>
        </w:rPr>
      </w:pPr>
    </w:p>
    <w:p w:rsidR="00F469FD" w:rsidRDefault="00F469FD">
      <w:pPr>
        <w:rPr>
          <w:rFonts w:ascii="Gill Sans MT" w:hAnsi="Gill Sans MT"/>
          <w:b/>
          <w:sz w:val="28"/>
          <w:szCs w:val="28"/>
        </w:rPr>
      </w:pPr>
      <w:r>
        <w:rPr>
          <w:rFonts w:ascii="Gill Sans MT" w:hAnsi="Gill Sans MT"/>
          <w:b/>
          <w:sz w:val="28"/>
          <w:szCs w:val="28"/>
        </w:rPr>
        <w:br w:type="page"/>
      </w:r>
    </w:p>
    <w:p w:rsidR="0063127B" w:rsidRDefault="0063127B" w:rsidP="0063127B">
      <w:pPr>
        <w:spacing w:after="0"/>
        <w:rPr>
          <w:rFonts w:ascii="Gill Sans MT" w:hAnsi="Gill Sans MT"/>
          <w:b/>
          <w:sz w:val="28"/>
          <w:szCs w:val="28"/>
        </w:rPr>
      </w:pPr>
      <w:r w:rsidRPr="00064EFD">
        <w:rPr>
          <w:rFonts w:ascii="Gill Sans MT" w:hAnsi="Gill Sans MT"/>
          <w:b/>
          <w:sz w:val="28"/>
          <w:szCs w:val="28"/>
        </w:rPr>
        <w:lastRenderedPageBreak/>
        <w:t>Differences in Proficiency</w:t>
      </w:r>
    </w:p>
    <w:p w:rsidR="00DD5A9B" w:rsidRDefault="00F469FD" w:rsidP="0063127B">
      <w:pPr>
        <w:spacing w:after="0"/>
        <w:rPr>
          <w:rFonts w:ascii="Gill Sans MT" w:hAnsi="Gill Sans MT"/>
          <w:sz w:val="24"/>
          <w:szCs w:val="24"/>
        </w:rPr>
      </w:pPr>
      <w:r w:rsidRPr="00F469FD">
        <w:rPr>
          <w:rFonts w:ascii="Gill Sans MT" w:hAnsi="Gill Sans MT"/>
          <w:sz w:val="24"/>
          <w:szCs w:val="24"/>
        </w:rPr>
        <w:t>The PHS Maths Team</w:t>
      </w:r>
      <w:r>
        <w:rPr>
          <w:rFonts w:ascii="Gill Sans MT" w:hAnsi="Gill Sans MT"/>
          <w:sz w:val="24"/>
          <w:szCs w:val="24"/>
        </w:rPr>
        <w:t xml:space="preserve"> was not finding it easy to make clear cut and efficient judgements of A, B, C, D or E ratings based upon proficiency for quite a while in 2012. There are details of the four proficiencies (Understanding, Fluency, Problem Solving and Reasoning)</w:t>
      </w:r>
      <w:r w:rsidR="00A55846">
        <w:rPr>
          <w:rFonts w:ascii="Gill Sans MT" w:hAnsi="Gill Sans MT"/>
          <w:sz w:val="24"/>
          <w:szCs w:val="24"/>
        </w:rPr>
        <w:t xml:space="preserve"> at the start of the whole curriculum and there are specific details of these proficiencies within each grade level. These are useful details for teaching but we weren’t able to use them extensively for rapid, accurate judgements of A, B, C, D and E ratings.</w:t>
      </w:r>
    </w:p>
    <w:p w:rsidR="00DD5A9B" w:rsidRDefault="00DD5A9B" w:rsidP="0063127B">
      <w:pPr>
        <w:spacing w:after="0"/>
        <w:rPr>
          <w:rFonts w:ascii="Gill Sans MT" w:hAnsi="Gill Sans MT"/>
          <w:sz w:val="24"/>
          <w:szCs w:val="24"/>
        </w:rPr>
      </w:pPr>
    </w:p>
    <w:p w:rsidR="00DD5A9B" w:rsidRDefault="00DD5A9B" w:rsidP="0063127B">
      <w:pPr>
        <w:spacing w:after="0"/>
        <w:rPr>
          <w:rFonts w:ascii="Gill Sans MT" w:hAnsi="Gill Sans MT"/>
          <w:sz w:val="24"/>
          <w:szCs w:val="24"/>
        </w:rPr>
      </w:pPr>
      <w:r>
        <w:rPr>
          <w:rFonts w:ascii="Gill Sans MT" w:hAnsi="Gill Sans MT"/>
          <w:sz w:val="24"/>
          <w:szCs w:val="24"/>
        </w:rPr>
        <w:t>The</w:t>
      </w:r>
      <w:r w:rsidR="00B105E7">
        <w:rPr>
          <w:rFonts w:ascii="Gill Sans MT" w:hAnsi="Gill Sans MT"/>
          <w:sz w:val="24"/>
          <w:szCs w:val="24"/>
        </w:rPr>
        <w:t>n</w:t>
      </w:r>
      <w:r>
        <w:rPr>
          <w:rFonts w:ascii="Gill Sans MT" w:hAnsi="Gill Sans MT"/>
          <w:sz w:val="24"/>
          <w:szCs w:val="24"/>
        </w:rPr>
        <w:t xml:space="preserve"> Denise Neal pointed us in the direction of the Queensland Studies Authority website, i.e.</w:t>
      </w:r>
    </w:p>
    <w:p w:rsidR="00993CD2" w:rsidRDefault="000C095C" w:rsidP="0063127B">
      <w:pPr>
        <w:spacing w:after="0"/>
        <w:rPr>
          <w:rFonts w:ascii="Gill Sans MT" w:hAnsi="Gill Sans MT"/>
          <w:sz w:val="24"/>
          <w:szCs w:val="24"/>
        </w:rPr>
      </w:pPr>
      <w:hyperlink r:id="rId13" w:history="1">
        <w:r w:rsidR="00DD5A9B" w:rsidRPr="00426069">
          <w:rPr>
            <w:rStyle w:val="Hyperlink"/>
            <w:rFonts w:ascii="Gill Sans MT" w:hAnsi="Gill Sans MT"/>
            <w:sz w:val="24"/>
            <w:szCs w:val="24"/>
          </w:rPr>
          <w:t>www.qsa.qld.edu.au</w:t>
        </w:r>
      </w:hyperlink>
    </w:p>
    <w:p w:rsidR="00DD5A9B" w:rsidRDefault="00DD5A9B" w:rsidP="0063127B">
      <w:pPr>
        <w:spacing w:after="0"/>
        <w:rPr>
          <w:rFonts w:ascii="Gill Sans MT" w:hAnsi="Gill Sans MT"/>
          <w:sz w:val="24"/>
          <w:szCs w:val="24"/>
        </w:rPr>
      </w:pPr>
    </w:p>
    <w:p w:rsidR="00DD5A9B" w:rsidRDefault="00DD5A9B" w:rsidP="0063127B">
      <w:pPr>
        <w:spacing w:after="0"/>
        <w:rPr>
          <w:rFonts w:ascii="Gill Sans MT" w:hAnsi="Gill Sans MT"/>
          <w:sz w:val="24"/>
          <w:szCs w:val="24"/>
        </w:rPr>
      </w:pPr>
      <w:r>
        <w:rPr>
          <w:rFonts w:ascii="Gill Sans MT" w:hAnsi="Gill Sans MT"/>
          <w:sz w:val="24"/>
          <w:szCs w:val="24"/>
        </w:rPr>
        <w:t>On this site we found a rubric that had been developed to help decide upon A, B, C, D and E ratings based upon proficiency. They referred to this rubric as Standards Elaborations and that is the terminology that you need to look for if you want to find it. (There are other useful things on this site as well so it is worth a browse).</w:t>
      </w:r>
    </w:p>
    <w:p w:rsidR="00DD5A9B" w:rsidRDefault="00DD5A9B" w:rsidP="0063127B">
      <w:pPr>
        <w:spacing w:after="0"/>
        <w:rPr>
          <w:rFonts w:ascii="Gill Sans MT" w:hAnsi="Gill Sans MT"/>
          <w:sz w:val="24"/>
          <w:szCs w:val="24"/>
        </w:rPr>
      </w:pPr>
    </w:p>
    <w:p w:rsidR="00B105E7" w:rsidRDefault="00DD5A9B" w:rsidP="0063127B">
      <w:pPr>
        <w:spacing w:after="0"/>
        <w:rPr>
          <w:rFonts w:ascii="Gill Sans MT" w:hAnsi="Gill Sans MT"/>
          <w:sz w:val="24"/>
          <w:szCs w:val="24"/>
        </w:rPr>
      </w:pPr>
      <w:r>
        <w:rPr>
          <w:rFonts w:ascii="Gill Sans MT" w:hAnsi="Gill Sans MT"/>
          <w:sz w:val="24"/>
          <w:szCs w:val="24"/>
        </w:rPr>
        <w:t xml:space="preserve">A quick way to find A4 printable versions of this rubric once you are on the </w:t>
      </w:r>
      <w:proofErr w:type="spellStart"/>
      <w:r>
        <w:rPr>
          <w:rFonts w:ascii="Gill Sans MT" w:hAnsi="Gill Sans MT"/>
          <w:sz w:val="24"/>
          <w:szCs w:val="24"/>
        </w:rPr>
        <w:t>qsa</w:t>
      </w:r>
      <w:proofErr w:type="spellEnd"/>
      <w:r>
        <w:rPr>
          <w:rFonts w:ascii="Gill Sans MT" w:hAnsi="Gill Sans MT"/>
          <w:sz w:val="24"/>
          <w:szCs w:val="24"/>
        </w:rPr>
        <w:t xml:space="preserve"> site is to choose: </w:t>
      </w:r>
    </w:p>
    <w:p w:rsidR="00B105E7" w:rsidRDefault="00DD5A9B" w:rsidP="0063127B">
      <w:pPr>
        <w:spacing w:after="0"/>
        <w:rPr>
          <w:rFonts w:ascii="Gill Sans MT" w:hAnsi="Gill Sans MT"/>
          <w:sz w:val="24"/>
          <w:szCs w:val="24"/>
        </w:rPr>
      </w:pPr>
      <w:r>
        <w:rPr>
          <w:rFonts w:ascii="Gill Sans MT" w:hAnsi="Gill Sans MT"/>
          <w:sz w:val="24"/>
          <w:szCs w:val="24"/>
        </w:rPr>
        <w:t xml:space="preserve">Prep-Year 10  </w:t>
      </w:r>
    </w:p>
    <w:p w:rsidR="00B105E7" w:rsidRDefault="00B105E7" w:rsidP="0063127B">
      <w:pPr>
        <w:spacing w:after="0"/>
        <w:rPr>
          <w:rFonts w:ascii="Gill Sans MT" w:hAnsi="Gill Sans MT"/>
          <w:sz w:val="24"/>
          <w:szCs w:val="24"/>
        </w:rPr>
      </w:pPr>
      <w:r>
        <w:rPr>
          <w:rFonts w:ascii="Gill Sans MT" w:hAnsi="Gill Sans MT"/>
          <w:sz w:val="24"/>
          <w:szCs w:val="24"/>
        </w:rPr>
        <w:t xml:space="preserve">Then </w:t>
      </w:r>
      <w:r w:rsidR="00DD5A9B">
        <w:rPr>
          <w:rFonts w:ascii="Gill Sans MT" w:hAnsi="Gill Sans MT"/>
          <w:sz w:val="24"/>
          <w:szCs w:val="24"/>
        </w:rPr>
        <w:t>P-10 Curriculum and assessmen</w:t>
      </w:r>
      <w:r>
        <w:rPr>
          <w:rFonts w:ascii="Gill Sans MT" w:hAnsi="Gill Sans MT"/>
          <w:sz w:val="24"/>
          <w:szCs w:val="24"/>
        </w:rPr>
        <w:t>t</w:t>
      </w:r>
      <w:r w:rsidR="00DD5A9B">
        <w:rPr>
          <w:rFonts w:ascii="Gill Sans MT" w:hAnsi="Gill Sans MT"/>
          <w:sz w:val="24"/>
          <w:szCs w:val="24"/>
        </w:rPr>
        <w:t xml:space="preserve"> </w:t>
      </w:r>
    </w:p>
    <w:p w:rsidR="00B105E7" w:rsidRDefault="00B105E7" w:rsidP="0063127B">
      <w:pPr>
        <w:spacing w:after="0"/>
        <w:rPr>
          <w:rFonts w:ascii="Gill Sans MT" w:hAnsi="Gill Sans MT"/>
          <w:sz w:val="24"/>
          <w:szCs w:val="24"/>
        </w:rPr>
      </w:pPr>
      <w:r>
        <w:rPr>
          <w:rFonts w:ascii="Gill Sans MT" w:hAnsi="Gill Sans MT"/>
          <w:sz w:val="24"/>
          <w:szCs w:val="24"/>
        </w:rPr>
        <w:t xml:space="preserve">Then </w:t>
      </w:r>
      <w:r w:rsidR="00DD5A9B">
        <w:rPr>
          <w:rFonts w:ascii="Gill Sans MT" w:hAnsi="Gill Sans MT"/>
          <w:sz w:val="24"/>
          <w:szCs w:val="24"/>
        </w:rPr>
        <w:t xml:space="preserve">Australian Curriculum in Queensland by learning area (P-10 Mathematics) </w:t>
      </w:r>
    </w:p>
    <w:p w:rsidR="00B105E7" w:rsidRDefault="00B105E7" w:rsidP="0063127B">
      <w:pPr>
        <w:spacing w:after="0"/>
        <w:rPr>
          <w:rFonts w:ascii="Gill Sans MT" w:hAnsi="Gill Sans MT"/>
          <w:sz w:val="24"/>
          <w:szCs w:val="24"/>
        </w:rPr>
      </w:pPr>
      <w:r>
        <w:rPr>
          <w:rFonts w:ascii="Gill Sans MT" w:hAnsi="Gill Sans MT"/>
          <w:sz w:val="24"/>
          <w:szCs w:val="24"/>
        </w:rPr>
        <w:t xml:space="preserve">Then </w:t>
      </w:r>
      <w:r w:rsidR="00DD5A9B">
        <w:rPr>
          <w:rFonts w:ascii="Gill Sans MT" w:hAnsi="Gill Sans MT"/>
          <w:sz w:val="24"/>
          <w:szCs w:val="24"/>
        </w:rPr>
        <w:t>choose a year level</w:t>
      </w:r>
    </w:p>
    <w:p w:rsidR="00AF0DE6" w:rsidRDefault="00B105E7" w:rsidP="0063127B">
      <w:pPr>
        <w:spacing w:after="0"/>
        <w:rPr>
          <w:rFonts w:ascii="Gill Sans MT" w:hAnsi="Gill Sans MT"/>
          <w:sz w:val="24"/>
          <w:szCs w:val="24"/>
        </w:rPr>
      </w:pPr>
      <w:r>
        <w:rPr>
          <w:rFonts w:ascii="Gill Sans MT" w:hAnsi="Gill Sans MT"/>
          <w:sz w:val="24"/>
          <w:szCs w:val="24"/>
        </w:rPr>
        <w:t xml:space="preserve">Then open the </w:t>
      </w:r>
      <w:proofErr w:type="spellStart"/>
      <w:r>
        <w:rPr>
          <w:rFonts w:ascii="Gill Sans MT" w:hAnsi="Gill Sans MT"/>
          <w:sz w:val="24"/>
          <w:szCs w:val="24"/>
        </w:rPr>
        <w:t>pdf</w:t>
      </w:r>
      <w:proofErr w:type="spellEnd"/>
      <w:r>
        <w:rPr>
          <w:rFonts w:ascii="Gill Sans MT" w:hAnsi="Gill Sans MT"/>
          <w:sz w:val="24"/>
          <w:szCs w:val="24"/>
        </w:rPr>
        <w:t xml:space="preserve"> document in the top right corner and look for standards elaborations.</w:t>
      </w:r>
      <w:r w:rsidR="00DD5A9B">
        <w:rPr>
          <w:rFonts w:ascii="Gill Sans MT" w:hAnsi="Gill Sans MT"/>
          <w:sz w:val="24"/>
          <w:szCs w:val="24"/>
        </w:rPr>
        <w:t xml:space="preserve"> </w:t>
      </w:r>
    </w:p>
    <w:p w:rsidR="00AF0DE6" w:rsidRDefault="00AF0DE6" w:rsidP="0063127B">
      <w:pPr>
        <w:spacing w:after="0"/>
        <w:rPr>
          <w:rFonts w:ascii="Gill Sans MT" w:hAnsi="Gill Sans MT"/>
          <w:sz w:val="24"/>
          <w:szCs w:val="24"/>
        </w:rPr>
      </w:pPr>
    </w:p>
    <w:p w:rsidR="00DD5A9B" w:rsidRDefault="00AF0DE6" w:rsidP="0063127B">
      <w:pPr>
        <w:spacing w:after="0"/>
        <w:rPr>
          <w:rFonts w:ascii="Gill Sans MT" w:hAnsi="Gill Sans MT"/>
          <w:sz w:val="24"/>
          <w:szCs w:val="24"/>
        </w:rPr>
      </w:pPr>
      <w:r>
        <w:rPr>
          <w:rFonts w:ascii="Gill Sans MT" w:hAnsi="Gill Sans MT"/>
          <w:sz w:val="24"/>
          <w:szCs w:val="24"/>
        </w:rPr>
        <w:t>We thought that the Queensland authors had done a pretty good job of this rubric overall however some of the rows of this rubric duplicated each other a bit and there were some words that did not help us to make a rapid distinction between say A and B. Furthermore, we wanted to name up, on the left hand side of the rubric, the particular aspect of performance that we were analysing so we modified the Queensland rubric to come up with the third</w:t>
      </w:r>
      <w:r w:rsidR="0004114D">
        <w:rPr>
          <w:rFonts w:ascii="Gill Sans MT" w:hAnsi="Gill Sans MT"/>
          <w:sz w:val="24"/>
          <w:szCs w:val="24"/>
        </w:rPr>
        <w:t xml:space="preserve"> handout entitled “Mathematics</w:t>
      </w:r>
      <w:r>
        <w:rPr>
          <w:rFonts w:ascii="Gill Sans MT" w:hAnsi="Gill Sans MT"/>
          <w:sz w:val="24"/>
          <w:szCs w:val="24"/>
        </w:rPr>
        <w:t xml:space="preserve"> Assessment Rubric (Generated October 2012 and revised April 2013).”</w:t>
      </w:r>
      <w:r w:rsidR="00DD5A9B">
        <w:rPr>
          <w:rFonts w:ascii="Gill Sans MT" w:hAnsi="Gill Sans MT"/>
          <w:sz w:val="24"/>
          <w:szCs w:val="24"/>
        </w:rPr>
        <w:t xml:space="preserve">  </w:t>
      </w:r>
    </w:p>
    <w:p w:rsidR="00AF0DE6" w:rsidRDefault="00AF0DE6" w:rsidP="0063127B">
      <w:pPr>
        <w:spacing w:after="0"/>
        <w:rPr>
          <w:rFonts w:ascii="Gill Sans MT" w:hAnsi="Gill Sans MT"/>
          <w:sz w:val="24"/>
          <w:szCs w:val="24"/>
        </w:rPr>
      </w:pPr>
    </w:p>
    <w:p w:rsidR="00AF0DE6" w:rsidRDefault="00AF0DE6" w:rsidP="0063127B">
      <w:pPr>
        <w:spacing w:after="0"/>
        <w:rPr>
          <w:rFonts w:ascii="Gill Sans MT" w:hAnsi="Gill Sans MT"/>
          <w:sz w:val="24"/>
          <w:szCs w:val="24"/>
        </w:rPr>
      </w:pPr>
      <w:r>
        <w:rPr>
          <w:rFonts w:ascii="Gill Sans MT" w:hAnsi="Gill Sans MT"/>
          <w:sz w:val="24"/>
          <w:szCs w:val="24"/>
        </w:rPr>
        <w:t>We were aiming for:</w:t>
      </w:r>
    </w:p>
    <w:p w:rsidR="00AF0DE6" w:rsidRDefault="00AF0DE6" w:rsidP="00AF0DE6">
      <w:pPr>
        <w:pStyle w:val="ListParagraph"/>
        <w:numPr>
          <w:ilvl w:val="0"/>
          <w:numId w:val="3"/>
        </w:numPr>
        <w:spacing w:after="0"/>
        <w:rPr>
          <w:rFonts w:ascii="Gill Sans MT" w:hAnsi="Gill Sans MT"/>
          <w:sz w:val="24"/>
          <w:szCs w:val="24"/>
        </w:rPr>
      </w:pPr>
      <w:r>
        <w:rPr>
          <w:rFonts w:ascii="Gill Sans MT" w:hAnsi="Gill Sans MT"/>
          <w:sz w:val="24"/>
          <w:szCs w:val="24"/>
        </w:rPr>
        <w:t>The briefest possible rubric</w:t>
      </w:r>
      <w:r w:rsidR="00627FA3">
        <w:rPr>
          <w:rFonts w:ascii="Gill Sans MT" w:hAnsi="Gill Sans MT"/>
          <w:sz w:val="24"/>
          <w:szCs w:val="24"/>
        </w:rPr>
        <w:t xml:space="preserve"> (i.e. important aspects are described but th</w:t>
      </w:r>
      <w:r w:rsidR="00541EF6">
        <w:rPr>
          <w:rFonts w:ascii="Gill Sans MT" w:hAnsi="Gill Sans MT"/>
          <w:sz w:val="24"/>
          <w:szCs w:val="24"/>
        </w:rPr>
        <w:t>ere are no unnecessary details)</w:t>
      </w:r>
    </w:p>
    <w:p w:rsidR="00AF0DE6" w:rsidRDefault="00AF0DE6" w:rsidP="00AF0DE6">
      <w:pPr>
        <w:pStyle w:val="ListParagraph"/>
        <w:numPr>
          <w:ilvl w:val="0"/>
          <w:numId w:val="3"/>
        </w:numPr>
        <w:spacing w:after="0"/>
        <w:rPr>
          <w:rFonts w:ascii="Gill Sans MT" w:hAnsi="Gill Sans MT"/>
          <w:sz w:val="24"/>
          <w:szCs w:val="24"/>
        </w:rPr>
      </w:pPr>
      <w:r>
        <w:rPr>
          <w:rFonts w:ascii="Gill Sans MT" w:hAnsi="Gill Sans MT"/>
          <w:sz w:val="24"/>
          <w:szCs w:val="24"/>
        </w:rPr>
        <w:t>That enabled quick and accurate judgements of A, B, C, D and E ratings</w:t>
      </w:r>
    </w:p>
    <w:p w:rsidR="00AF0DE6" w:rsidRPr="00AF0DE6" w:rsidRDefault="00AF0DE6" w:rsidP="00AF0DE6">
      <w:pPr>
        <w:pStyle w:val="ListParagraph"/>
        <w:numPr>
          <w:ilvl w:val="0"/>
          <w:numId w:val="3"/>
        </w:numPr>
        <w:spacing w:after="0"/>
        <w:rPr>
          <w:rFonts w:ascii="Gill Sans MT" w:hAnsi="Gill Sans MT"/>
          <w:sz w:val="24"/>
          <w:szCs w:val="24"/>
        </w:rPr>
      </w:pPr>
      <w:r>
        <w:rPr>
          <w:rFonts w:ascii="Gill Sans MT" w:hAnsi="Gill Sans MT"/>
          <w:sz w:val="24"/>
          <w:szCs w:val="24"/>
        </w:rPr>
        <w:t xml:space="preserve">And also reinforced the things that we wanted students to </w:t>
      </w:r>
      <w:r w:rsidR="00FD2300">
        <w:rPr>
          <w:rFonts w:ascii="Gill Sans MT" w:hAnsi="Gill Sans MT"/>
          <w:sz w:val="24"/>
          <w:szCs w:val="24"/>
        </w:rPr>
        <w:t>learn about quality mathematics in particular the proficiencies as described in the Australian Curriculum.</w:t>
      </w:r>
    </w:p>
    <w:p w:rsidR="00B105E7" w:rsidRDefault="00B105E7" w:rsidP="0063127B">
      <w:pPr>
        <w:spacing w:after="0"/>
        <w:rPr>
          <w:rFonts w:ascii="Gill Sans MT" w:hAnsi="Gill Sans MT"/>
          <w:b/>
          <w:sz w:val="24"/>
          <w:szCs w:val="24"/>
        </w:rPr>
      </w:pPr>
    </w:p>
    <w:p w:rsidR="0063127B" w:rsidRPr="0004114D" w:rsidRDefault="0004114D" w:rsidP="0063127B">
      <w:pPr>
        <w:spacing w:after="0"/>
        <w:rPr>
          <w:rFonts w:ascii="Gill Sans MT" w:hAnsi="Gill Sans MT"/>
          <w:sz w:val="24"/>
          <w:szCs w:val="24"/>
        </w:rPr>
      </w:pPr>
      <w:r w:rsidRPr="0004114D">
        <w:rPr>
          <w:rFonts w:ascii="Gill Sans MT" w:hAnsi="Gill Sans MT"/>
          <w:sz w:val="24"/>
          <w:szCs w:val="24"/>
        </w:rPr>
        <w:t xml:space="preserve">Please note that we didn’t want to have </w:t>
      </w:r>
      <w:r>
        <w:rPr>
          <w:rFonts w:ascii="Gill Sans MT" w:hAnsi="Gill Sans MT"/>
          <w:sz w:val="24"/>
          <w:szCs w:val="24"/>
        </w:rPr>
        <w:t>the</w:t>
      </w:r>
      <w:r w:rsidRPr="0004114D">
        <w:rPr>
          <w:rFonts w:ascii="Gill Sans MT" w:hAnsi="Gill Sans MT"/>
          <w:sz w:val="24"/>
          <w:szCs w:val="24"/>
        </w:rPr>
        <w:t xml:space="preserve"> most exhaustive </w:t>
      </w:r>
      <w:r>
        <w:rPr>
          <w:rFonts w:ascii="Gill Sans MT" w:hAnsi="Gill Sans MT"/>
          <w:sz w:val="24"/>
          <w:szCs w:val="24"/>
        </w:rPr>
        <w:t xml:space="preserve">rubric based upon the most comprehensive theory of assessment of learning. Instead we were looking for a tool that helped teachers accomplish assessment of learning accurately and rapidly so that they could spend more time on the other two more important types of assessment. </w:t>
      </w:r>
    </w:p>
    <w:p w:rsidR="00101067" w:rsidRDefault="00101067" w:rsidP="0063127B">
      <w:pPr>
        <w:spacing w:after="0"/>
        <w:rPr>
          <w:rFonts w:ascii="Gill Sans MT" w:hAnsi="Gill Sans MT"/>
          <w:sz w:val="24"/>
          <w:szCs w:val="24"/>
        </w:rPr>
      </w:pPr>
    </w:p>
    <w:p w:rsidR="00F469FD" w:rsidRDefault="00F469FD" w:rsidP="0063127B">
      <w:pPr>
        <w:spacing w:after="0"/>
        <w:rPr>
          <w:rFonts w:ascii="Gill Sans MT" w:hAnsi="Gill Sans MT"/>
          <w:sz w:val="24"/>
          <w:szCs w:val="24"/>
        </w:rPr>
      </w:pPr>
    </w:p>
    <w:p w:rsidR="00541EF6" w:rsidRDefault="00541EF6">
      <w:pPr>
        <w:rPr>
          <w:rFonts w:ascii="Gill Sans MT" w:hAnsi="Gill Sans MT"/>
          <w:sz w:val="24"/>
          <w:szCs w:val="24"/>
        </w:rPr>
      </w:pPr>
      <w:r>
        <w:rPr>
          <w:rFonts w:ascii="Gill Sans MT" w:hAnsi="Gill Sans MT"/>
          <w:sz w:val="24"/>
          <w:szCs w:val="24"/>
        </w:rPr>
        <w:br w:type="page"/>
      </w:r>
    </w:p>
    <w:p w:rsidR="00F469FD" w:rsidRPr="00541EF6" w:rsidRDefault="00F469FD" w:rsidP="0063127B">
      <w:pPr>
        <w:spacing w:after="0"/>
        <w:rPr>
          <w:rFonts w:ascii="Gill Sans MT" w:hAnsi="Gill Sans MT"/>
          <w:b/>
          <w:sz w:val="28"/>
          <w:szCs w:val="28"/>
        </w:rPr>
      </w:pPr>
      <w:r w:rsidRPr="00541EF6">
        <w:rPr>
          <w:rFonts w:ascii="Gill Sans MT" w:hAnsi="Gill Sans MT"/>
          <w:b/>
          <w:sz w:val="28"/>
          <w:szCs w:val="28"/>
        </w:rPr>
        <w:lastRenderedPageBreak/>
        <w:t xml:space="preserve">Other </w:t>
      </w:r>
      <w:r w:rsidR="00541EF6">
        <w:rPr>
          <w:rFonts w:ascii="Gill Sans MT" w:hAnsi="Gill Sans MT"/>
          <w:b/>
          <w:sz w:val="28"/>
          <w:szCs w:val="28"/>
        </w:rPr>
        <w:t xml:space="preserve">Helpful </w:t>
      </w:r>
      <w:r w:rsidRPr="00541EF6">
        <w:rPr>
          <w:rFonts w:ascii="Gill Sans MT" w:hAnsi="Gill Sans MT"/>
          <w:b/>
          <w:sz w:val="28"/>
          <w:szCs w:val="28"/>
        </w:rPr>
        <w:t>Resources</w:t>
      </w:r>
    </w:p>
    <w:p w:rsidR="00F469FD" w:rsidRDefault="00541EF6" w:rsidP="0063127B">
      <w:pPr>
        <w:spacing w:after="0"/>
        <w:rPr>
          <w:rFonts w:ascii="Gill Sans MT" w:hAnsi="Gill Sans MT"/>
          <w:sz w:val="24"/>
          <w:szCs w:val="24"/>
        </w:rPr>
      </w:pPr>
      <w:r>
        <w:rPr>
          <w:rFonts w:ascii="Gill Sans MT" w:hAnsi="Gill Sans MT"/>
          <w:sz w:val="24"/>
          <w:szCs w:val="24"/>
        </w:rPr>
        <w:t xml:space="preserve">There are portfolios of student work that are at the standard, above the standard and below the standard for </w:t>
      </w:r>
      <w:r w:rsidR="005058E0">
        <w:rPr>
          <w:rFonts w:ascii="Gill Sans MT" w:hAnsi="Gill Sans MT"/>
          <w:sz w:val="24"/>
          <w:szCs w:val="24"/>
        </w:rPr>
        <w:t xml:space="preserve">each grade level on the electronic version of the Australian Curriculum (they can’t be accessed from the </w:t>
      </w:r>
      <w:proofErr w:type="spellStart"/>
      <w:r w:rsidR="005058E0">
        <w:rPr>
          <w:rFonts w:ascii="Gill Sans MT" w:hAnsi="Gill Sans MT"/>
          <w:sz w:val="24"/>
          <w:szCs w:val="24"/>
        </w:rPr>
        <w:t>pdf</w:t>
      </w:r>
      <w:proofErr w:type="spellEnd"/>
      <w:r w:rsidR="005058E0">
        <w:rPr>
          <w:rFonts w:ascii="Gill Sans MT" w:hAnsi="Gill Sans MT"/>
          <w:sz w:val="24"/>
          <w:szCs w:val="24"/>
        </w:rPr>
        <w:t xml:space="preserve"> version).</w:t>
      </w:r>
    </w:p>
    <w:p w:rsidR="00F469FD" w:rsidRDefault="00F469FD" w:rsidP="0063127B">
      <w:pPr>
        <w:spacing w:after="0"/>
        <w:rPr>
          <w:rFonts w:ascii="Gill Sans MT" w:hAnsi="Gill Sans MT"/>
          <w:sz w:val="24"/>
          <w:szCs w:val="24"/>
        </w:rPr>
      </w:pPr>
    </w:p>
    <w:p w:rsidR="00F469FD" w:rsidRPr="008237B3" w:rsidRDefault="00F469FD" w:rsidP="0063127B">
      <w:pPr>
        <w:spacing w:after="0"/>
        <w:rPr>
          <w:rFonts w:ascii="Gill Sans MT" w:hAnsi="Gill Sans MT"/>
          <w:b/>
          <w:sz w:val="28"/>
          <w:szCs w:val="28"/>
        </w:rPr>
      </w:pPr>
      <w:r w:rsidRPr="008237B3">
        <w:rPr>
          <w:rFonts w:ascii="Gill Sans MT" w:hAnsi="Gill Sans MT"/>
          <w:b/>
          <w:sz w:val="28"/>
          <w:szCs w:val="28"/>
        </w:rPr>
        <w:t xml:space="preserve">Other </w:t>
      </w:r>
      <w:r w:rsidR="008237B3">
        <w:rPr>
          <w:rFonts w:ascii="Gill Sans MT" w:hAnsi="Gill Sans MT"/>
          <w:b/>
          <w:sz w:val="28"/>
          <w:szCs w:val="28"/>
        </w:rPr>
        <w:t xml:space="preserve">Helpful </w:t>
      </w:r>
      <w:r w:rsidRPr="008237B3">
        <w:rPr>
          <w:rFonts w:ascii="Gill Sans MT" w:hAnsi="Gill Sans MT"/>
          <w:b/>
          <w:sz w:val="28"/>
          <w:szCs w:val="28"/>
        </w:rPr>
        <w:t>Hints</w:t>
      </w:r>
    </w:p>
    <w:p w:rsidR="008237B3" w:rsidRDefault="008237B3" w:rsidP="0063127B">
      <w:pPr>
        <w:spacing w:after="0"/>
        <w:rPr>
          <w:rFonts w:ascii="Gill Sans MT" w:hAnsi="Gill Sans MT"/>
          <w:sz w:val="24"/>
          <w:szCs w:val="24"/>
        </w:rPr>
      </w:pPr>
      <w:r>
        <w:rPr>
          <w:rFonts w:ascii="Gill Sans MT" w:hAnsi="Gill Sans MT"/>
          <w:sz w:val="24"/>
          <w:szCs w:val="24"/>
        </w:rPr>
        <w:t>W</w:t>
      </w:r>
      <w:r w:rsidR="00602B8E">
        <w:rPr>
          <w:rFonts w:ascii="Gill Sans MT" w:hAnsi="Gill Sans MT"/>
          <w:sz w:val="24"/>
          <w:szCs w:val="24"/>
        </w:rPr>
        <w:t xml:space="preserve">e </w:t>
      </w:r>
      <w:r>
        <w:rPr>
          <w:rFonts w:ascii="Gill Sans MT" w:hAnsi="Gill Sans MT"/>
          <w:sz w:val="24"/>
          <w:szCs w:val="24"/>
        </w:rPr>
        <w:t>really only need to combine the A, B, C, D or E ratings from student performances of understanding to come up with an overall rating at reporting time.</w:t>
      </w:r>
    </w:p>
    <w:p w:rsidR="008237B3" w:rsidRDefault="008237B3" w:rsidP="0063127B">
      <w:pPr>
        <w:spacing w:after="0"/>
        <w:rPr>
          <w:rFonts w:ascii="Gill Sans MT" w:hAnsi="Gill Sans MT"/>
          <w:sz w:val="24"/>
          <w:szCs w:val="24"/>
        </w:rPr>
      </w:pPr>
    </w:p>
    <w:p w:rsidR="00400EC2" w:rsidRDefault="008237B3" w:rsidP="0063127B">
      <w:pPr>
        <w:spacing w:after="0"/>
        <w:rPr>
          <w:rFonts w:ascii="Gill Sans MT" w:hAnsi="Gill Sans MT"/>
          <w:sz w:val="24"/>
          <w:szCs w:val="24"/>
        </w:rPr>
      </w:pPr>
      <w:r>
        <w:rPr>
          <w:rFonts w:ascii="Gill Sans MT" w:hAnsi="Gill Sans MT"/>
          <w:sz w:val="24"/>
          <w:szCs w:val="24"/>
        </w:rPr>
        <w:t xml:space="preserve">Therefore, if we can’t make a firm decision </w:t>
      </w:r>
      <w:r w:rsidR="00400EC2">
        <w:rPr>
          <w:rFonts w:ascii="Gill Sans MT" w:hAnsi="Gill Sans MT"/>
          <w:sz w:val="24"/>
          <w:szCs w:val="24"/>
        </w:rPr>
        <w:t xml:space="preserve">on </w:t>
      </w:r>
      <w:r>
        <w:rPr>
          <w:rFonts w:ascii="Gill Sans MT" w:hAnsi="Gill Sans MT"/>
          <w:sz w:val="24"/>
          <w:szCs w:val="24"/>
        </w:rPr>
        <w:t>the rating one particular assessment task</w:t>
      </w:r>
      <w:r w:rsidR="00400EC2">
        <w:rPr>
          <w:rFonts w:ascii="Gill Sans MT" w:hAnsi="Gill Sans MT"/>
          <w:sz w:val="24"/>
          <w:szCs w:val="24"/>
        </w:rPr>
        <w:t xml:space="preserve"> we don’t need to agonise over this.</w:t>
      </w:r>
    </w:p>
    <w:p w:rsidR="00400EC2" w:rsidRDefault="00400EC2" w:rsidP="0063127B">
      <w:pPr>
        <w:spacing w:after="0"/>
        <w:rPr>
          <w:rFonts w:ascii="Gill Sans MT" w:hAnsi="Gill Sans MT"/>
          <w:sz w:val="24"/>
          <w:szCs w:val="24"/>
        </w:rPr>
      </w:pPr>
    </w:p>
    <w:p w:rsidR="003A6F3F" w:rsidRDefault="00400EC2" w:rsidP="0063127B">
      <w:pPr>
        <w:spacing w:after="0"/>
        <w:rPr>
          <w:rFonts w:ascii="Gill Sans MT" w:hAnsi="Gill Sans MT"/>
          <w:sz w:val="24"/>
          <w:szCs w:val="24"/>
        </w:rPr>
      </w:pPr>
      <w:r>
        <w:rPr>
          <w:rFonts w:ascii="Gill Sans MT" w:hAnsi="Gill Sans MT"/>
          <w:sz w:val="24"/>
          <w:szCs w:val="24"/>
        </w:rPr>
        <w:t>For example, if a particular assessment task for a student is right on the borderline between a C and a B rating we could just list it is C/B in our mark book. Then, if we have to combine say four differe</w:t>
      </w:r>
      <w:r w:rsidR="003A6F3F">
        <w:rPr>
          <w:rFonts w:ascii="Gill Sans MT" w:hAnsi="Gill Sans MT"/>
          <w:sz w:val="24"/>
          <w:szCs w:val="24"/>
        </w:rPr>
        <w:t>nt assessment ratings for a mid-</w:t>
      </w:r>
      <w:r>
        <w:rPr>
          <w:rFonts w:ascii="Gill Sans MT" w:hAnsi="Gill Sans MT"/>
          <w:sz w:val="24"/>
          <w:szCs w:val="24"/>
        </w:rPr>
        <w:t>year report and the four ratings we have for this student are C, C, C/B and C, the student will clearly be getting a C for this report</w:t>
      </w:r>
      <w:r w:rsidR="003A6F3F">
        <w:rPr>
          <w:rFonts w:ascii="Gill Sans MT" w:hAnsi="Gill Sans MT"/>
          <w:sz w:val="24"/>
          <w:szCs w:val="24"/>
        </w:rPr>
        <w:t xml:space="preserve"> so we don’t need to waste time deciding if the C/B rating is really a C or a B.</w:t>
      </w:r>
      <w:r w:rsidR="00602B8E">
        <w:rPr>
          <w:rFonts w:ascii="Gill Sans MT" w:hAnsi="Gill Sans MT"/>
          <w:sz w:val="24"/>
          <w:szCs w:val="24"/>
        </w:rPr>
        <w:t xml:space="preserve"> If we adopt this approach for all students in similar situations we will save a lot of time by not making time consuming decisions that we don’t have to make.</w:t>
      </w:r>
      <w:r w:rsidR="003A6F3F">
        <w:rPr>
          <w:rFonts w:ascii="Gill Sans MT" w:hAnsi="Gill Sans MT"/>
          <w:sz w:val="24"/>
          <w:szCs w:val="24"/>
        </w:rPr>
        <w:t xml:space="preserve"> </w:t>
      </w:r>
    </w:p>
    <w:p w:rsidR="003A6F3F" w:rsidRDefault="003A6F3F" w:rsidP="0063127B">
      <w:pPr>
        <w:spacing w:after="0"/>
        <w:rPr>
          <w:rFonts w:ascii="Gill Sans MT" w:hAnsi="Gill Sans MT"/>
          <w:sz w:val="24"/>
          <w:szCs w:val="24"/>
        </w:rPr>
      </w:pPr>
    </w:p>
    <w:p w:rsidR="003A6F3F" w:rsidRDefault="003A6F3F" w:rsidP="0063127B">
      <w:pPr>
        <w:spacing w:after="0"/>
        <w:rPr>
          <w:rFonts w:ascii="Gill Sans MT" w:hAnsi="Gill Sans MT"/>
          <w:b/>
          <w:sz w:val="28"/>
          <w:szCs w:val="28"/>
        </w:rPr>
      </w:pPr>
      <w:r w:rsidRPr="003A6F3F">
        <w:rPr>
          <w:rFonts w:ascii="Gill Sans MT" w:hAnsi="Gill Sans MT"/>
          <w:b/>
          <w:sz w:val="28"/>
          <w:szCs w:val="28"/>
        </w:rPr>
        <w:t>Summary</w:t>
      </w:r>
    </w:p>
    <w:p w:rsidR="00F469FD" w:rsidRDefault="003A6F3F" w:rsidP="003A6F3F">
      <w:pPr>
        <w:pStyle w:val="ListParagraph"/>
        <w:numPr>
          <w:ilvl w:val="0"/>
          <w:numId w:val="5"/>
        </w:numPr>
        <w:spacing w:after="0"/>
        <w:rPr>
          <w:rFonts w:ascii="Gill Sans MT" w:hAnsi="Gill Sans MT"/>
          <w:sz w:val="24"/>
          <w:szCs w:val="24"/>
        </w:rPr>
      </w:pPr>
      <w:r>
        <w:rPr>
          <w:rFonts w:ascii="Gill Sans MT" w:hAnsi="Gill Sans MT"/>
          <w:sz w:val="24"/>
          <w:szCs w:val="24"/>
        </w:rPr>
        <w:t>Assessment for learning and assessment as learning are far more important than assessment of learning. Therefore we should devote most of our assessment efforts</w:t>
      </w:r>
      <w:r w:rsidR="00431F00">
        <w:rPr>
          <w:rFonts w:ascii="Gill Sans MT" w:hAnsi="Gill Sans MT"/>
          <w:sz w:val="24"/>
          <w:szCs w:val="24"/>
        </w:rPr>
        <w:t xml:space="preserve"> to assessment for and as learning and we should do “just enough” assessment of learning to give accurate and fair A, B, C, D or E ratings.</w:t>
      </w:r>
    </w:p>
    <w:p w:rsidR="00431F00" w:rsidRDefault="00431F00" w:rsidP="003A6F3F">
      <w:pPr>
        <w:pStyle w:val="ListParagraph"/>
        <w:numPr>
          <w:ilvl w:val="0"/>
          <w:numId w:val="5"/>
        </w:numPr>
        <w:spacing w:after="0"/>
        <w:rPr>
          <w:rFonts w:ascii="Gill Sans MT" w:hAnsi="Gill Sans MT"/>
          <w:sz w:val="24"/>
          <w:szCs w:val="24"/>
        </w:rPr>
      </w:pPr>
      <w:r>
        <w:rPr>
          <w:rFonts w:ascii="Gill Sans MT" w:hAnsi="Gill Sans MT"/>
          <w:sz w:val="24"/>
          <w:szCs w:val="24"/>
        </w:rPr>
        <w:t>When analysing the performance of students we can think about their conceptual level and their proficiency level.</w:t>
      </w:r>
    </w:p>
    <w:p w:rsidR="00431F00" w:rsidRDefault="00431F00" w:rsidP="003A6F3F">
      <w:pPr>
        <w:pStyle w:val="ListParagraph"/>
        <w:numPr>
          <w:ilvl w:val="0"/>
          <w:numId w:val="5"/>
        </w:numPr>
        <w:spacing w:after="0"/>
        <w:rPr>
          <w:rFonts w:ascii="Gill Sans MT" w:hAnsi="Gill Sans MT"/>
          <w:sz w:val="24"/>
          <w:szCs w:val="24"/>
        </w:rPr>
      </w:pPr>
      <w:r>
        <w:rPr>
          <w:rFonts w:ascii="Gill Sans MT" w:hAnsi="Gill Sans MT"/>
          <w:sz w:val="24"/>
          <w:szCs w:val="24"/>
        </w:rPr>
        <w:t xml:space="preserve">Some aspects of content seem to be a bit above the achievement standard expectations and these indicators can help us when we are looking for evidence </w:t>
      </w:r>
      <w:r w:rsidR="00602B8E">
        <w:rPr>
          <w:rFonts w:ascii="Gill Sans MT" w:hAnsi="Gill Sans MT"/>
          <w:sz w:val="24"/>
          <w:szCs w:val="24"/>
        </w:rPr>
        <w:t xml:space="preserve">of B or </w:t>
      </w:r>
      <w:proofErr w:type="gramStart"/>
      <w:r w:rsidR="00602B8E">
        <w:rPr>
          <w:rFonts w:ascii="Gill Sans MT" w:hAnsi="Gill Sans MT"/>
          <w:sz w:val="24"/>
          <w:szCs w:val="24"/>
        </w:rPr>
        <w:t>A</w:t>
      </w:r>
      <w:proofErr w:type="gramEnd"/>
      <w:r w:rsidR="00602B8E">
        <w:rPr>
          <w:rFonts w:ascii="Gill Sans MT" w:hAnsi="Gill Sans MT"/>
          <w:sz w:val="24"/>
          <w:szCs w:val="24"/>
        </w:rPr>
        <w:t xml:space="preserve"> standard performances based upon the conceptual level of understanding exhibited by a student.</w:t>
      </w:r>
    </w:p>
    <w:p w:rsidR="00431F00" w:rsidRDefault="00602B8E" w:rsidP="003A6F3F">
      <w:pPr>
        <w:pStyle w:val="ListParagraph"/>
        <w:numPr>
          <w:ilvl w:val="0"/>
          <w:numId w:val="5"/>
        </w:numPr>
        <w:spacing w:after="0"/>
        <w:rPr>
          <w:rFonts w:ascii="Gill Sans MT" w:hAnsi="Gill Sans MT"/>
          <w:sz w:val="24"/>
          <w:szCs w:val="24"/>
        </w:rPr>
      </w:pPr>
      <w:r>
        <w:rPr>
          <w:rFonts w:ascii="Gill Sans MT" w:hAnsi="Gill Sans MT"/>
          <w:sz w:val="24"/>
          <w:szCs w:val="24"/>
        </w:rPr>
        <w:t>The one page rubric helps us to rate student performance based upon proficiency level.</w:t>
      </w:r>
    </w:p>
    <w:p w:rsidR="00602B8E" w:rsidRDefault="00602B8E" w:rsidP="003A6F3F">
      <w:pPr>
        <w:pStyle w:val="ListParagraph"/>
        <w:numPr>
          <w:ilvl w:val="0"/>
          <w:numId w:val="5"/>
        </w:numPr>
        <w:spacing w:after="0"/>
        <w:rPr>
          <w:rFonts w:ascii="Gill Sans MT" w:hAnsi="Gill Sans MT"/>
          <w:sz w:val="24"/>
          <w:szCs w:val="24"/>
        </w:rPr>
      </w:pPr>
      <w:r>
        <w:rPr>
          <w:rFonts w:ascii="Gill Sans MT" w:hAnsi="Gill Sans MT"/>
          <w:sz w:val="24"/>
          <w:szCs w:val="24"/>
        </w:rPr>
        <w:t xml:space="preserve">We can save time by only </w:t>
      </w:r>
      <w:r w:rsidR="000C095C">
        <w:rPr>
          <w:rFonts w:ascii="Gill Sans MT" w:hAnsi="Gill Sans MT"/>
          <w:sz w:val="24"/>
          <w:szCs w:val="24"/>
        </w:rPr>
        <w:t xml:space="preserve">agonising over tricky decisions between ratings </w:t>
      </w:r>
      <w:r>
        <w:rPr>
          <w:rFonts w:ascii="Gill Sans MT" w:hAnsi="Gill Sans MT"/>
          <w:sz w:val="24"/>
          <w:szCs w:val="24"/>
        </w:rPr>
        <w:t>when we need to i.e. at reporting time.</w:t>
      </w:r>
    </w:p>
    <w:p w:rsidR="000C095C" w:rsidRDefault="000C095C" w:rsidP="000C095C">
      <w:pPr>
        <w:spacing w:after="0"/>
        <w:rPr>
          <w:rFonts w:ascii="Gill Sans MT" w:hAnsi="Gill Sans MT"/>
          <w:sz w:val="24"/>
          <w:szCs w:val="24"/>
        </w:rPr>
      </w:pPr>
    </w:p>
    <w:p w:rsidR="000C095C" w:rsidRDefault="000C095C" w:rsidP="000C095C">
      <w:pPr>
        <w:spacing w:after="0"/>
        <w:rPr>
          <w:rFonts w:ascii="Gill Sans MT" w:hAnsi="Gill Sans MT"/>
          <w:sz w:val="24"/>
          <w:szCs w:val="24"/>
        </w:rPr>
      </w:pPr>
    </w:p>
    <w:p w:rsidR="000C095C" w:rsidRDefault="000C095C" w:rsidP="000C095C">
      <w:pPr>
        <w:spacing w:after="0"/>
        <w:rPr>
          <w:rFonts w:ascii="Gill Sans MT" w:hAnsi="Gill Sans MT"/>
          <w:sz w:val="24"/>
          <w:szCs w:val="24"/>
        </w:rPr>
      </w:pPr>
    </w:p>
    <w:p w:rsidR="000C095C" w:rsidRDefault="000C095C" w:rsidP="000C095C">
      <w:pPr>
        <w:spacing w:after="0"/>
        <w:rPr>
          <w:rFonts w:ascii="Gill Sans MT" w:hAnsi="Gill Sans MT"/>
          <w:sz w:val="24"/>
          <w:szCs w:val="24"/>
        </w:rPr>
      </w:pPr>
      <w:r>
        <w:rPr>
          <w:rFonts w:ascii="Gill Sans MT" w:hAnsi="Gill Sans MT"/>
          <w:sz w:val="24"/>
          <w:szCs w:val="24"/>
        </w:rPr>
        <w:t>Thanks for your attention today. I hope that the discussion and the documents</w:t>
      </w:r>
      <w:bookmarkStart w:id="0" w:name="_GoBack"/>
      <w:bookmarkEnd w:id="0"/>
      <w:r>
        <w:rPr>
          <w:rFonts w:ascii="Gill Sans MT" w:hAnsi="Gill Sans MT"/>
          <w:sz w:val="24"/>
          <w:szCs w:val="24"/>
        </w:rPr>
        <w:t xml:space="preserve"> will help as you think about your assessment processes.</w:t>
      </w:r>
    </w:p>
    <w:p w:rsidR="000C095C" w:rsidRDefault="000C095C" w:rsidP="000C095C">
      <w:pPr>
        <w:spacing w:after="0"/>
        <w:rPr>
          <w:rFonts w:ascii="Gill Sans MT" w:hAnsi="Gill Sans MT"/>
          <w:sz w:val="24"/>
          <w:szCs w:val="24"/>
        </w:rPr>
      </w:pPr>
    </w:p>
    <w:p w:rsidR="000C095C" w:rsidRPr="000C095C" w:rsidRDefault="000C095C" w:rsidP="000C095C">
      <w:pPr>
        <w:spacing w:after="0"/>
        <w:rPr>
          <w:rFonts w:ascii="Gill Sans MT" w:hAnsi="Gill Sans MT"/>
          <w:sz w:val="24"/>
          <w:szCs w:val="24"/>
        </w:rPr>
      </w:pPr>
      <w:r>
        <w:rPr>
          <w:rFonts w:ascii="Gill Sans MT" w:hAnsi="Gill Sans MT"/>
          <w:sz w:val="24"/>
          <w:szCs w:val="24"/>
        </w:rPr>
        <w:t>Greg.</w:t>
      </w:r>
    </w:p>
    <w:p w:rsidR="00F469FD" w:rsidRDefault="00F469FD" w:rsidP="0063127B">
      <w:pPr>
        <w:spacing w:after="0"/>
        <w:rPr>
          <w:rFonts w:ascii="Gill Sans MT" w:hAnsi="Gill Sans MT"/>
          <w:sz w:val="24"/>
          <w:szCs w:val="24"/>
        </w:rPr>
      </w:pPr>
    </w:p>
    <w:p w:rsidR="00F469FD" w:rsidRPr="00064EFD" w:rsidRDefault="00F469FD" w:rsidP="0063127B">
      <w:pPr>
        <w:spacing w:after="0"/>
        <w:rPr>
          <w:rFonts w:ascii="Gill Sans MT" w:hAnsi="Gill Sans MT"/>
          <w:sz w:val="24"/>
          <w:szCs w:val="24"/>
        </w:rPr>
      </w:pPr>
    </w:p>
    <w:sectPr w:rsidR="00F469FD" w:rsidRPr="00064EFD" w:rsidSect="0063127B">
      <w:footerReference w:type="default" r:id="rId14"/>
      <w:pgSz w:w="11906" w:h="16838"/>
      <w:pgMar w:top="720" w:right="720" w:bottom="720" w:left="720"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AF0DE6" w:rsidRDefault="00AF0DE6" w:rsidP="0063127B">
      <w:pPr>
        <w:spacing w:after="0" w:line="240" w:lineRule="auto"/>
      </w:pPr>
      <w:r>
        <w:separator/>
      </w:r>
    </w:p>
  </w:endnote>
  <w:endnote w:type="continuationSeparator" w:id="0">
    <w:p w:rsidR="00AF0DE6" w:rsidRDefault="00AF0DE6" w:rsidP="0063127B">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Arial">
    <w:panose1 w:val="020B0604020202020204"/>
    <w:charset w:val="00"/>
    <w:family w:val="swiss"/>
    <w:pitch w:val="variable"/>
    <w:sig w:usb0="E0002AFF" w:usb1="C0007843" w:usb2="00000009" w:usb3="00000000" w:csb0="000001FF" w:csb1="00000000"/>
  </w:font>
  <w:font w:name="Tahoma">
    <w:panose1 w:val="020B0604030504040204"/>
    <w:charset w:val="00"/>
    <w:family w:val="swiss"/>
    <w:notTrueType/>
    <w:pitch w:val="variable"/>
    <w:sig w:usb0="00000003" w:usb1="00000000" w:usb2="00000000" w:usb3="00000000" w:csb0="00000001" w:csb1="00000000"/>
  </w:font>
  <w:font w:name="Gill Sans MT">
    <w:panose1 w:val="020B0502020104020203"/>
    <w:charset w:val="00"/>
    <w:family w:val="swiss"/>
    <w:pitch w:val="variable"/>
    <w:sig w:usb0="00000007" w:usb1="00000000" w:usb2="00000000" w:usb3="00000000" w:csb0="00000003"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1429475772"/>
      <w:docPartObj>
        <w:docPartGallery w:val="Page Numbers (Bottom of Page)"/>
        <w:docPartUnique/>
      </w:docPartObj>
    </w:sdtPr>
    <w:sdtEndPr>
      <w:rPr>
        <w:noProof/>
      </w:rPr>
    </w:sdtEndPr>
    <w:sdtContent>
      <w:p w:rsidR="00AF0DE6" w:rsidRDefault="00AF0DE6">
        <w:pPr>
          <w:pStyle w:val="Footer"/>
          <w:jc w:val="center"/>
        </w:pPr>
        <w:r>
          <w:fldChar w:fldCharType="begin"/>
        </w:r>
        <w:r>
          <w:instrText xml:space="preserve"> PAGE   \* MERGEFORMAT </w:instrText>
        </w:r>
        <w:r>
          <w:fldChar w:fldCharType="separate"/>
        </w:r>
        <w:r w:rsidR="000C095C">
          <w:rPr>
            <w:noProof/>
          </w:rPr>
          <w:t>4</w:t>
        </w:r>
        <w:r>
          <w:rPr>
            <w:noProof/>
          </w:rPr>
          <w:fldChar w:fldCharType="end"/>
        </w:r>
      </w:p>
    </w:sdtContent>
  </w:sdt>
  <w:p w:rsidR="00AF0DE6" w:rsidRDefault="00AF0DE6">
    <w:pPr>
      <w:pStyle w:val="Foo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AF0DE6" w:rsidRDefault="00AF0DE6" w:rsidP="0063127B">
      <w:pPr>
        <w:spacing w:after="0" w:line="240" w:lineRule="auto"/>
      </w:pPr>
      <w:r>
        <w:separator/>
      </w:r>
    </w:p>
  </w:footnote>
  <w:footnote w:type="continuationSeparator" w:id="0">
    <w:p w:rsidR="00AF0DE6" w:rsidRDefault="00AF0DE6" w:rsidP="0063127B">
      <w:pPr>
        <w:spacing w:after="0"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2BE4FA6"/>
    <w:multiLevelType w:val="hybridMultilevel"/>
    <w:tmpl w:val="BA9C8C74"/>
    <w:lvl w:ilvl="0" w:tplc="0C09000F">
      <w:start w:val="1"/>
      <w:numFmt w:val="decimal"/>
      <w:lvlText w:val="%1."/>
      <w:lvlJc w:val="left"/>
      <w:pPr>
        <w:ind w:left="360" w:hanging="360"/>
      </w:pPr>
    </w:lvl>
    <w:lvl w:ilvl="1" w:tplc="0C090019" w:tentative="1">
      <w:start w:val="1"/>
      <w:numFmt w:val="lowerLetter"/>
      <w:lvlText w:val="%2."/>
      <w:lvlJc w:val="left"/>
      <w:pPr>
        <w:ind w:left="1080" w:hanging="360"/>
      </w:pPr>
    </w:lvl>
    <w:lvl w:ilvl="2" w:tplc="0C09001B" w:tentative="1">
      <w:start w:val="1"/>
      <w:numFmt w:val="lowerRoman"/>
      <w:lvlText w:val="%3."/>
      <w:lvlJc w:val="right"/>
      <w:pPr>
        <w:ind w:left="1800" w:hanging="180"/>
      </w:pPr>
    </w:lvl>
    <w:lvl w:ilvl="3" w:tplc="0C09000F" w:tentative="1">
      <w:start w:val="1"/>
      <w:numFmt w:val="decimal"/>
      <w:lvlText w:val="%4."/>
      <w:lvlJc w:val="left"/>
      <w:pPr>
        <w:ind w:left="2520" w:hanging="360"/>
      </w:pPr>
    </w:lvl>
    <w:lvl w:ilvl="4" w:tplc="0C090019" w:tentative="1">
      <w:start w:val="1"/>
      <w:numFmt w:val="lowerLetter"/>
      <w:lvlText w:val="%5."/>
      <w:lvlJc w:val="left"/>
      <w:pPr>
        <w:ind w:left="3240" w:hanging="360"/>
      </w:pPr>
    </w:lvl>
    <w:lvl w:ilvl="5" w:tplc="0C09001B" w:tentative="1">
      <w:start w:val="1"/>
      <w:numFmt w:val="lowerRoman"/>
      <w:lvlText w:val="%6."/>
      <w:lvlJc w:val="right"/>
      <w:pPr>
        <w:ind w:left="3960" w:hanging="180"/>
      </w:pPr>
    </w:lvl>
    <w:lvl w:ilvl="6" w:tplc="0C09000F" w:tentative="1">
      <w:start w:val="1"/>
      <w:numFmt w:val="decimal"/>
      <w:lvlText w:val="%7."/>
      <w:lvlJc w:val="left"/>
      <w:pPr>
        <w:ind w:left="4680" w:hanging="360"/>
      </w:pPr>
    </w:lvl>
    <w:lvl w:ilvl="7" w:tplc="0C090019" w:tentative="1">
      <w:start w:val="1"/>
      <w:numFmt w:val="lowerLetter"/>
      <w:lvlText w:val="%8."/>
      <w:lvlJc w:val="left"/>
      <w:pPr>
        <w:ind w:left="5400" w:hanging="360"/>
      </w:pPr>
    </w:lvl>
    <w:lvl w:ilvl="8" w:tplc="0C09001B" w:tentative="1">
      <w:start w:val="1"/>
      <w:numFmt w:val="lowerRoman"/>
      <w:lvlText w:val="%9."/>
      <w:lvlJc w:val="right"/>
      <w:pPr>
        <w:ind w:left="6120" w:hanging="180"/>
      </w:pPr>
    </w:lvl>
  </w:abstractNum>
  <w:abstractNum w:abstractNumId="1">
    <w:nsid w:val="18CA2D70"/>
    <w:multiLevelType w:val="hybridMultilevel"/>
    <w:tmpl w:val="B1940AEE"/>
    <w:lvl w:ilvl="0" w:tplc="0C09000F">
      <w:start w:val="1"/>
      <w:numFmt w:val="decimal"/>
      <w:lvlText w:val="%1."/>
      <w:lvlJc w:val="left"/>
      <w:pPr>
        <w:ind w:left="720" w:hanging="360"/>
      </w:pPr>
    </w:lvl>
    <w:lvl w:ilvl="1" w:tplc="0C090019" w:tentative="1">
      <w:start w:val="1"/>
      <w:numFmt w:val="lowerLetter"/>
      <w:lvlText w:val="%2."/>
      <w:lvlJc w:val="left"/>
      <w:pPr>
        <w:ind w:left="1440" w:hanging="360"/>
      </w:pPr>
    </w:lvl>
    <w:lvl w:ilvl="2" w:tplc="0C09001B" w:tentative="1">
      <w:start w:val="1"/>
      <w:numFmt w:val="lowerRoman"/>
      <w:lvlText w:val="%3."/>
      <w:lvlJc w:val="right"/>
      <w:pPr>
        <w:ind w:left="2160" w:hanging="180"/>
      </w:pPr>
    </w:lvl>
    <w:lvl w:ilvl="3" w:tplc="0C09000F" w:tentative="1">
      <w:start w:val="1"/>
      <w:numFmt w:val="decimal"/>
      <w:lvlText w:val="%4."/>
      <w:lvlJc w:val="left"/>
      <w:pPr>
        <w:ind w:left="2880" w:hanging="360"/>
      </w:pPr>
    </w:lvl>
    <w:lvl w:ilvl="4" w:tplc="0C090019" w:tentative="1">
      <w:start w:val="1"/>
      <w:numFmt w:val="lowerLetter"/>
      <w:lvlText w:val="%5."/>
      <w:lvlJc w:val="left"/>
      <w:pPr>
        <w:ind w:left="3600" w:hanging="360"/>
      </w:pPr>
    </w:lvl>
    <w:lvl w:ilvl="5" w:tplc="0C09001B" w:tentative="1">
      <w:start w:val="1"/>
      <w:numFmt w:val="lowerRoman"/>
      <w:lvlText w:val="%6."/>
      <w:lvlJc w:val="right"/>
      <w:pPr>
        <w:ind w:left="4320" w:hanging="180"/>
      </w:pPr>
    </w:lvl>
    <w:lvl w:ilvl="6" w:tplc="0C09000F" w:tentative="1">
      <w:start w:val="1"/>
      <w:numFmt w:val="decimal"/>
      <w:lvlText w:val="%7."/>
      <w:lvlJc w:val="left"/>
      <w:pPr>
        <w:ind w:left="5040" w:hanging="360"/>
      </w:pPr>
    </w:lvl>
    <w:lvl w:ilvl="7" w:tplc="0C090019" w:tentative="1">
      <w:start w:val="1"/>
      <w:numFmt w:val="lowerLetter"/>
      <w:lvlText w:val="%8."/>
      <w:lvlJc w:val="left"/>
      <w:pPr>
        <w:ind w:left="5760" w:hanging="360"/>
      </w:pPr>
    </w:lvl>
    <w:lvl w:ilvl="8" w:tplc="0C09001B" w:tentative="1">
      <w:start w:val="1"/>
      <w:numFmt w:val="lowerRoman"/>
      <w:lvlText w:val="%9."/>
      <w:lvlJc w:val="right"/>
      <w:pPr>
        <w:ind w:left="6480" w:hanging="180"/>
      </w:pPr>
    </w:lvl>
  </w:abstractNum>
  <w:abstractNum w:abstractNumId="2">
    <w:nsid w:val="19B27815"/>
    <w:multiLevelType w:val="hybridMultilevel"/>
    <w:tmpl w:val="1CEAAC44"/>
    <w:lvl w:ilvl="0" w:tplc="0C090001">
      <w:start w:val="1"/>
      <w:numFmt w:val="bullet"/>
      <w:lvlText w:val=""/>
      <w:lvlJc w:val="left"/>
      <w:pPr>
        <w:ind w:left="720" w:hanging="360"/>
      </w:pPr>
      <w:rPr>
        <w:rFonts w:ascii="Symbol" w:hAnsi="Symbol"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3">
    <w:nsid w:val="31DF6B8F"/>
    <w:multiLevelType w:val="hybridMultilevel"/>
    <w:tmpl w:val="2B6411E6"/>
    <w:lvl w:ilvl="0" w:tplc="0C090001">
      <w:start w:val="1"/>
      <w:numFmt w:val="bullet"/>
      <w:lvlText w:val=""/>
      <w:lvlJc w:val="left"/>
      <w:pPr>
        <w:ind w:left="720" w:hanging="360"/>
      </w:pPr>
      <w:rPr>
        <w:rFonts w:ascii="Symbol" w:hAnsi="Symbol"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4">
    <w:nsid w:val="77FB3A1D"/>
    <w:multiLevelType w:val="hybridMultilevel"/>
    <w:tmpl w:val="35EA98B8"/>
    <w:lvl w:ilvl="0" w:tplc="0C090001">
      <w:start w:val="1"/>
      <w:numFmt w:val="bullet"/>
      <w:lvlText w:val=""/>
      <w:lvlJc w:val="left"/>
      <w:pPr>
        <w:ind w:left="720" w:hanging="360"/>
      </w:pPr>
      <w:rPr>
        <w:rFonts w:ascii="Symbol" w:hAnsi="Symbol"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num w:numId="1">
    <w:abstractNumId w:val="2"/>
  </w:num>
  <w:num w:numId="2">
    <w:abstractNumId w:val="3"/>
  </w:num>
  <w:num w:numId="3">
    <w:abstractNumId w:val="4"/>
  </w:num>
  <w:num w:numId="4">
    <w:abstractNumId w:val="0"/>
  </w:num>
  <w:num w:numId="5">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4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1E0975"/>
    <w:rsid w:val="0004114D"/>
    <w:rsid w:val="00064EFD"/>
    <w:rsid w:val="000A4191"/>
    <w:rsid w:val="000C095C"/>
    <w:rsid w:val="000C211C"/>
    <w:rsid w:val="00101067"/>
    <w:rsid w:val="001E0975"/>
    <w:rsid w:val="00274CCC"/>
    <w:rsid w:val="00295589"/>
    <w:rsid w:val="00336D56"/>
    <w:rsid w:val="00367D7B"/>
    <w:rsid w:val="003A6F3F"/>
    <w:rsid w:val="003B68C6"/>
    <w:rsid w:val="00400EC2"/>
    <w:rsid w:val="00431F00"/>
    <w:rsid w:val="004725AA"/>
    <w:rsid w:val="00496F71"/>
    <w:rsid w:val="005058E0"/>
    <w:rsid w:val="00541EF6"/>
    <w:rsid w:val="00602B8E"/>
    <w:rsid w:val="00627FA3"/>
    <w:rsid w:val="0063127B"/>
    <w:rsid w:val="00740612"/>
    <w:rsid w:val="007759F2"/>
    <w:rsid w:val="008237B3"/>
    <w:rsid w:val="008F1E26"/>
    <w:rsid w:val="00930442"/>
    <w:rsid w:val="00993CD2"/>
    <w:rsid w:val="009A4563"/>
    <w:rsid w:val="009D21DB"/>
    <w:rsid w:val="00A55846"/>
    <w:rsid w:val="00A75F57"/>
    <w:rsid w:val="00A95A72"/>
    <w:rsid w:val="00AA2326"/>
    <w:rsid w:val="00AF0DE6"/>
    <w:rsid w:val="00B105E7"/>
    <w:rsid w:val="00C25875"/>
    <w:rsid w:val="00C32335"/>
    <w:rsid w:val="00D07521"/>
    <w:rsid w:val="00DD5A9B"/>
    <w:rsid w:val="00E711E2"/>
    <w:rsid w:val="00F469FD"/>
    <w:rsid w:val="00FB6A02"/>
    <w:rsid w:val="00FD2300"/>
  </w:rsids>
  <m:mathPr>
    <m:mathFont m:val="Cambria Math"/>
    <m:brkBin m:val="before"/>
    <m:brkBinSub m:val="--"/>
    <m:smallFrac m:val="0"/>
    <m:dispDef/>
    <m:lMargin m:val="0"/>
    <m:rMargin m:val="0"/>
    <m:defJc m:val="centerGroup"/>
    <m:wrapIndent m:val="1440"/>
    <m:intLim m:val="subSup"/>
    <m:naryLim m:val="undOvr"/>
  </m:mathPr>
  <w:themeFontLang w:val="en-A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A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63127B"/>
    <w:pPr>
      <w:tabs>
        <w:tab w:val="center" w:pos="4513"/>
        <w:tab w:val="right" w:pos="9026"/>
      </w:tabs>
      <w:spacing w:after="0" w:line="240" w:lineRule="auto"/>
    </w:pPr>
  </w:style>
  <w:style w:type="character" w:customStyle="1" w:styleId="HeaderChar">
    <w:name w:val="Header Char"/>
    <w:basedOn w:val="DefaultParagraphFont"/>
    <w:link w:val="Header"/>
    <w:uiPriority w:val="99"/>
    <w:rsid w:val="0063127B"/>
  </w:style>
  <w:style w:type="paragraph" w:styleId="Footer">
    <w:name w:val="footer"/>
    <w:basedOn w:val="Normal"/>
    <w:link w:val="FooterChar"/>
    <w:uiPriority w:val="99"/>
    <w:unhideWhenUsed/>
    <w:rsid w:val="0063127B"/>
    <w:pPr>
      <w:tabs>
        <w:tab w:val="center" w:pos="4513"/>
        <w:tab w:val="right" w:pos="9026"/>
      </w:tabs>
      <w:spacing w:after="0" w:line="240" w:lineRule="auto"/>
    </w:pPr>
  </w:style>
  <w:style w:type="character" w:customStyle="1" w:styleId="FooterChar">
    <w:name w:val="Footer Char"/>
    <w:basedOn w:val="DefaultParagraphFont"/>
    <w:link w:val="Footer"/>
    <w:uiPriority w:val="99"/>
    <w:rsid w:val="0063127B"/>
  </w:style>
  <w:style w:type="table" w:styleId="TableGrid">
    <w:name w:val="Table Grid"/>
    <w:basedOn w:val="TableNormal"/>
    <w:uiPriority w:val="59"/>
    <w:rsid w:val="00336D56"/>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Default">
    <w:name w:val="Default"/>
    <w:rsid w:val="00064EFD"/>
    <w:pPr>
      <w:autoSpaceDE w:val="0"/>
      <w:autoSpaceDN w:val="0"/>
      <w:adjustRightInd w:val="0"/>
      <w:spacing w:after="0" w:line="240" w:lineRule="auto"/>
    </w:pPr>
    <w:rPr>
      <w:rFonts w:ascii="Arial" w:hAnsi="Arial" w:cs="Arial"/>
      <w:color w:val="000000"/>
      <w:sz w:val="24"/>
      <w:szCs w:val="24"/>
    </w:rPr>
  </w:style>
  <w:style w:type="paragraph" w:styleId="BalloonText">
    <w:name w:val="Balloon Text"/>
    <w:basedOn w:val="Normal"/>
    <w:link w:val="BalloonTextChar"/>
    <w:uiPriority w:val="99"/>
    <w:semiHidden/>
    <w:unhideWhenUsed/>
    <w:rsid w:val="00993CD2"/>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993CD2"/>
    <w:rPr>
      <w:rFonts w:ascii="Tahoma" w:hAnsi="Tahoma" w:cs="Tahoma"/>
      <w:sz w:val="16"/>
      <w:szCs w:val="16"/>
    </w:rPr>
  </w:style>
  <w:style w:type="paragraph" w:styleId="ListParagraph">
    <w:name w:val="List Paragraph"/>
    <w:basedOn w:val="Normal"/>
    <w:uiPriority w:val="34"/>
    <w:qFormat/>
    <w:rsid w:val="00C25875"/>
    <w:pPr>
      <w:ind w:left="720"/>
      <w:contextualSpacing/>
    </w:pPr>
  </w:style>
  <w:style w:type="character" w:styleId="Hyperlink">
    <w:name w:val="Hyperlink"/>
    <w:basedOn w:val="DefaultParagraphFont"/>
    <w:uiPriority w:val="99"/>
    <w:unhideWhenUsed/>
    <w:rsid w:val="00DD5A9B"/>
    <w:rPr>
      <w:color w:val="0000FF" w:themeColor="hyperlink"/>
      <w:u w:val="single"/>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A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63127B"/>
    <w:pPr>
      <w:tabs>
        <w:tab w:val="center" w:pos="4513"/>
        <w:tab w:val="right" w:pos="9026"/>
      </w:tabs>
      <w:spacing w:after="0" w:line="240" w:lineRule="auto"/>
    </w:pPr>
  </w:style>
  <w:style w:type="character" w:customStyle="1" w:styleId="HeaderChar">
    <w:name w:val="Header Char"/>
    <w:basedOn w:val="DefaultParagraphFont"/>
    <w:link w:val="Header"/>
    <w:uiPriority w:val="99"/>
    <w:rsid w:val="0063127B"/>
  </w:style>
  <w:style w:type="paragraph" w:styleId="Footer">
    <w:name w:val="footer"/>
    <w:basedOn w:val="Normal"/>
    <w:link w:val="FooterChar"/>
    <w:uiPriority w:val="99"/>
    <w:unhideWhenUsed/>
    <w:rsid w:val="0063127B"/>
    <w:pPr>
      <w:tabs>
        <w:tab w:val="center" w:pos="4513"/>
        <w:tab w:val="right" w:pos="9026"/>
      </w:tabs>
      <w:spacing w:after="0" w:line="240" w:lineRule="auto"/>
    </w:pPr>
  </w:style>
  <w:style w:type="character" w:customStyle="1" w:styleId="FooterChar">
    <w:name w:val="Footer Char"/>
    <w:basedOn w:val="DefaultParagraphFont"/>
    <w:link w:val="Footer"/>
    <w:uiPriority w:val="99"/>
    <w:rsid w:val="0063127B"/>
  </w:style>
  <w:style w:type="table" w:styleId="TableGrid">
    <w:name w:val="Table Grid"/>
    <w:basedOn w:val="TableNormal"/>
    <w:uiPriority w:val="59"/>
    <w:rsid w:val="00336D56"/>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Default">
    <w:name w:val="Default"/>
    <w:rsid w:val="00064EFD"/>
    <w:pPr>
      <w:autoSpaceDE w:val="0"/>
      <w:autoSpaceDN w:val="0"/>
      <w:adjustRightInd w:val="0"/>
      <w:spacing w:after="0" w:line="240" w:lineRule="auto"/>
    </w:pPr>
    <w:rPr>
      <w:rFonts w:ascii="Arial" w:hAnsi="Arial" w:cs="Arial"/>
      <w:color w:val="000000"/>
      <w:sz w:val="24"/>
      <w:szCs w:val="24"/>
    </w:rPr>
  </w:style>
  <w:style w:type="paragraph" w:styleId="BalloonText">
    <w:name w:val="Balloon Text"/>
    <w:basedOn w:val="Normal"/>
    <w:link w:val="BalloonTextChar"/>
    <w:uiPriority w:val="99"/>
    <w:semiHidden/>
    <w:unhideWhenUsed/>
    <w:rsid w:val="00993CD2"/>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993CD2"/>
    <w:rPr>
      <w:rFonts w:ascii="Tahoma" w:hAnsi="Tahoma" w:cs="Tahoma"/>
      <w:sz w:val="16"/>
      <w:szCs w:val="16"/>
    </w:rPr>
  </w:style>
  <w:style w:type="paragraph" w:styleId="ListParagraph">
    <w:name w:val="List Paragraph"/>
    <w:basedOn w:val="Normal"/>
    <w:uiPriority w:val="34"/>
    <w:qFormat/>
    <w:rsid w:val="00C25875"/>
    <w:pPr>
      <w:ind w:left="720"/>
      <w:contextualSpacing/>
    </w:pPr>
  </w:style>
  <w:style w:type="character" w:styleId="Hyperlink">
    <w:name w:val="Hyperlink"/>
    <w:basedOn w:val="DefaultParagraphFont"/>
    <w:uiPriority w:val="99"/>
    <w:unhideWhenUsed/>
    <w:rsid w:val="00DD5A9B"/>
    <w:rPr>
      <w:color w:val="0000FF"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8" Type="http://schemas.openxmlformats.org/officeDocument/2006/relationships/diagramData" Target="diagrams/data1.xml"/><Relationship Id="rId13" Type="http://schemas.openxmlformats.org/officeDocument/2006/relationships/hyperlink" Target="http://www.qsa.qld.edu.au" TargetMode="External"/><Relationship Id="rId3" Type="http://schemas.microsoft.com/office/2007/relationships/stylesWithEffects" Target="stylesWithEffects.xml"/><Relationship Id="rId7" Type="http://schemas.openxmlformats.org/officeDocument/2006/relationships/endnotes" Target="endnotes.xml"/><Relationship Id="rId12" Type="http://schemas.microsoft.com/office/2007/relationships/diagramDrawing" Target="diagrams/drawing1.xml"/><Relationship Id="rId2" Type="http://schemas.openxmlformats.org/officeDocument/2006/relationships/styles" Target="styles.xml"/><Relationship Id="rId16" Type="http://schemas.openxmlformats.org/officeDocument/2006/relationships/theme" Target="theme/theme1.xml"/><Relationship Id="rId1" Type="http://schemas.openxmlformats.org/officeDocument/2006/relationships/numbering" Target="numbering.xml"/><Relationship Id="rId6" Type="http://schemas.openxmlformats.org/officeDocument/2006/relationships/footnotes" Target="footnotes.xml"/><Relationship Id="rId11" Type="http://schemas.openxmlformats.org/officeDocument/2006/relationships/diagramColors" Target="diagrams/colors1.xml"/><Relationship Id="rId5" Type="http://schemas.openxmlformats.org/officeDocument/2006/relationships/webSettings" Target="webSettings.xml"/><Relationship Id="rId15" Type="http://schemas.openxmlformats.org/officeDocument/2006/relationships/fontTable" Target="fontTable.xml"/><Relationship Id="rId10" Type="http://schemas.openxmlformats.org/officeDocument/2006/relationships/diagramQuickStyle" Target="diagrams/quickStyle1.xml"/><Relationship Id="rId4" Type="http://schemas.openxmlformats.org/officeDocument/2006/relationships/settings" Target="settings.xml"/><Relationship Id="rId9" Type="http://schemas.openxmlformats.org/officeDocument/2006/relationships/diagramLayout" Target="diagrams/layout1.xml"/><Relationship Id="rId14" Type="http://schemas.openxmlformats.org/officeDocument/2006/relationships/footer" Target="footer1.xml"/></Relationships>
</file>

<file path=word/diagrams/colors1.xml><?xml version="1.0" encoding="utf-8"?>
<dgm:colorsDef xmlns:dgm="http://schemas.openxmlformats.org/drawingml/2006/diagram" xmlns:a="http://schemas.openxmlformats.org/drawingml/2006/main" uniqueId="urn:microsoft.com/office/officeart/2005/8/colors/accent1_2">
  <dgm:title val=""/>
  <dgm:desc val=""/>
  <dgm:catLst>
    <dgm:cat type="accent1" pri="11200"/>
  </dgm:catLst>
  <dgm:styleLbl name="node0">
    <dgm:fillClrLst meth="repeat">
      <a:schemeClr val="accent1"/>
    </dgm:fillClrLst>
    <dgm:linClrLst meth="repeat">
      <a:schemeClr val="lt1"/>
    </dgm:linClrLst>
    <dgm:effectClrLst/>
    <dgm:txLinClrLst/>
    <dgm:txFillClrLst/>
    <dgm:txEffectClrLst/>
  </dgm:styleLbl>
  <dgm:styleLbl name="alignNode1">
    <dgm:fillClrLst meth="repeat">
      <a:schemeClr val="accent1"/>
    </dgm:fillClrLst>
    <dgm:linClrLst meth="repeat">
      <a:schemeClr val="accent1"/>
    </dgm:linClrLst>
    <dgm:effectClrLst/>
    <dgm:txLinClrLst/>
    <dgm:txFillClrLst/>
    <dgm:txEffectClrLst/>
  </dgm:styleLbl>
  <dgm:styleLbl name="node1">
    <dgm:fillClrLst meth="repeat">
      <a:schemeClr val="accent1"/>
    </dgm:fillClrLst>
    <dgm:linClrLst meth="repeat">
      <a:schemeClr val="lt1"/>
    </dgm:linClrLst>
    <dgm:effectClrLst/>
    <dgm:txLinClrLst/>
    <dgm:txFillClrLst/>
    <dgm:txEffectClrLst/>
  </dgm:styleLbl>
  <dgm:styleLbl name="lnNode1">
    <dgm:fillClrLst meth="repeat">
      <a:schemeClr val="accent1"/>
    </dgm:fillClrLst>
    <dgm:linClrLst meth="repeat">
      <a:schemeClr val="lt1"/>
    </dgm:linClrLst>
    <dgm:effectClrLst/>
    <dgm:txLinClrLst/>
    <dgm:txFillClrLst/>
    <dgm:txEffectClrLst/>
  </dgm:styleLbl>
  <dgm:styleLbl name="vennNode1">
    <dgm:fillClrLst meth="repeat">
      <a:schemeClr val="accent1">
        <a:alpha val="50000"/>
      </a:schemeClr>
    </dgm:fillClrLst>
    <dgm:linClrLst meth="repeat">
      <a:schemeClr val="lt1"/>
    </dgm:linClrLst>
    <dgm:effectClrLst/>
    <dgm:txLinClrLst/>
    <dgm:txFillClrLst/>
    <dgm:txEffectClrLst/>
  </dgm:styleLbl>
  <dgm:styleLbl name="node2">
    <dgm:fillClrLst meth="repeat">
      <a:schemeClr val="accent1"/>
    </dgm:fillClrLst>
    <dgm:linClrLst meth="repeat">
      <a:schemeClr val="lt1"/>
    </dgm:linClrLst>
    <dgm:effectClrLst/>
    <dgm:txLinClrLst/>
    <dgm:txFillClrLst/>
    <dgm:txEffectClrLst/>
  </dgm:styleLbl>
  <dgm:styleLbl name="node3">
    <dgm:fillClrLst meth="repeat">
      <a:schemeClr val="accent1"/>
    </dgm:fillClrLst>
    <dgm:linClrLst meth="repeat">
      <a:schemeClr val="lt1"/>
    </dgm:linClrLst>
    <dgm:effectClrLst/>
    <dgm:txLinClrLst/>
    <dgm:txFillClrLst/>
    <dgm:txEffectClrLst/>
  </dgm:styleLbl>
  <dgm:styleLbl name="node4">
    <dgm:fillClrLst meth="repeat">
      <a:schemeClr val="accent1"/>
    </dgm:fillClrLst>
    <dgm:linClrLst meth="repeat">
      <a:schemeClr val="lt1"/>
    </dgm:linClrLst>
    <dgm:effectClrLst/>
    <dgm:txLinClrLst/>
    <dgm:txFillClrLst/>
    <dgm:txEffectClrLst/>
  </dgm:styleLbl>
  <dgm:styleLbl name="fgImgPlace1">
    <dgm:fillClrLst meth="repeat">
      <a:schemeClr val="accent1">
        <a:tint val="50000"/>
      </a:schemeClr>
    </dgm:fillClrLst>
    <dgm:linClrLst meth="repeat">
      <a:schemeClr val="lt1"/>
    </dgm:linClrLst>
    <dgm:effectClrLst/>
    <dgm:txLinClrLst/>
    <dgm:txFillClrLst meth="repeat">
      <a:schemeClr val="lt1"/>
    </dgm:txFillClrLst>
    <dgm:txEffectClrLst/>
  </dgm:styleLbl>
  <dgm:styleLbl name="alignImgPlace1">
    <dgm:fillClrLst meth="repeat">
      <a:schemeClr val="accent1">
        <a:tint val="50000"/>
      </a:schemeClr>
    </dgm:fillClrLst>
    <dgm:linClrLst meth="repeat">
      <a:schemeClr val="lt1"/>
    </dgm:linClrLst>
    <dgm:effectClrLst/>
    <dgm:txLinClrLst/>
    <dgm:txFillClrLst meth="repeat">
      <a:schemeClr val="lt1"/>
    </dgm:txFillClrLst>
    <dgm:txEffectClrLst/>
  </dgm:styleLbl>
  <dgm:styleLbl name="bgImgPlace1">
    <dgm:fillClrLst meth="repeat">
      <a:schemeClr val="accent1">
        <a:tint val="50000"/>
      </a:schemeClr>
    </dgm:fillClrLst>
    <dgm:linClrLst meth="repeat">
      <a:schemeClr val="lt1"/>
    </dgm:linClrLst>
    <dgm:effectClrLst/>
    <dgm:txLinClrLst/>
    <dgm:txFillClrLst meth="repeat">
      <a:schemeClr val="lt1"/>
    </dgm:txFillClrLst>
    <dgm:txEffectClrLst/>
  </dgm:styleLbl>
  <dgm:styleLbl name="sibTrans2D1">
    <dgm:fillClrLst meth="repeat">
      <a:schemeClr val="accent1">
        <a:tint val="60000"/>
      </a:schemeClr>
    </dgm:fillClrLst>
    <dgm:linClrLst meth="repeat">
      <a:schemeClr val="accent1">
        <a:tint val="60000"/>
      </a:schemeClr>
    </dgm:linClrLst>
    <dgm:effectClrLst/>
    <dgm:txLinClrLst/>
    <dgm:txFillClrLst/>
    <dgm:txEffectClrLst/>
  </dgm:styleLbl>
  <dgm:styleLbl name="fgSibTrans2D1">
    <dgm:fillClrLst meth="repeat">
      <a:schemeClr val="accent1">
        <a:tint val="60000"/>
      </a:schemeClr>
    </dgm:fillClrLst>
    <dgm:linClrLst meth="repeat">
      <a:schemeClr val="accent1">
        <a:tint val="60000"/>
      </a:schemeClr>
    </dgm:linClrLst>
    <dgm:effectClrLst/>
    <dgm:txLinClrLst/>
    <dgm:txFillClrLst/>
    <dgm:txEffectClrLst/>
  </dgm:styleLbl>
  <dgm:styleLbl name="bgSibTrans2D1">
    <dgm:fillClrLst meth="repeat">
      <a:schemeClr val="accent1">
        <a:tint val="60000"/>
      </a:schemeClr>
    </dgm:fillClrLst>
    <dgm:linClrLst meth="repeat">
      <a:schemeClr val="accent1">
        <a:tint val="60000"/>
      </a:schemeClr>
    </dgm:linClrLst>
    <dgm:effectClrLst/>
    <dgm:txLinClrLst/>
    <dgm:txFillClrLst/>
    <dgm:txEffectClrLst/>
  </dgm:styleLbl>
  <dgm:styleLbl name="sibTrans1D1">
    <dgm:fillClrLst meth="repeat">
      <a:schemeClr val="accent1"/>
    </dgm:fillClrLst>
    <dgm:linClrLst meth="repeat">
      <a:schemeClr val="accent1"/>
    </dgm:linClrLst>
    <dgm:effectClrLst/>
    <dgm:txLinClrLst/>
    <dgm:txFillClrLst meth="repeat">
      <a:schemeClr val="tx1"/>
    </dgm:txFillClrLst>
    <dgm:txEffectClrLst/>
  </dgm:styleLbl>
  <dgm:styleLbl name="callout">
    <dgm:fillClrLst meth="repeat">
      <a:schemeClr val="accent1"/>
    </dgm:fillClrLst>
    <dgm:linClrLst meth="repeat">
      <a:schemeClr val="accent1">
        <a:tint val="50000"/>
      </a:schemeClr>
    </dgm:linClrLst>
    <dgm:effectClrLst/>
    <dgm:txLinClrLst/>
    <dgm:txFillClrLst meth="repeat">
      <a:schemeClr val="tx1"/>
    </dgm:txFillClrLst>
    <dgm:txEffectClrLst/>
  </dgm:styleLbl>
  <dgm:styleLbl name="asst0">
    <dgm:fillClrLst meth="repeat">
      <a:schemeClr val="accent1"/>
    </dgm:fillClrLst>
    <dgm:linClrLst meth="repeat">
      <a:schemeClr val="lt1"/>
    </dgm:linClrLst>
    <dgm:effectClrLst/>
    <dgm:txLinClrLst/>
    <dgm:txFillClrLst/>
    <dgm:txEffectClrLst/>
  </dgm:styleLbl>
  <dgm:styleLbl name="asst1">
    <dgm:fillClrLst meth="repeat">
      <a:schemeClr val="accent1"/>
    </dgm:fillClrLst>
    <dgm:linClrLst meth="repeat">
      <a:schemeClr val="lt1"/>
    </dgm:linClrLst>
    <dgm:effectClrLst/>
    <dgm:txLinClrLst/>
    <dgm:txFillClrLst/>
    <dgm:txEffectClrLst/>
  </dgm:styleLbl>
  <dgm:styleLbl name="asst2">
    <dgm:fillClrLst meth="repeat">
      <a:schemeClr val="accent1"/>
    </dgm:fillClrLst>
    <dgm:linClrLst meth="repeat">
      <a:schemeClr val="lt1"/>
    </dgm:linClrLst>
    <dgm:effectClrLst/>
    <dgm:txLinClrLst/>
    <dgm:txFillClrLst/>
    <dgm:txEffectClrLst/>
  </dgm:styleLbl>
  <dgm:styleLbl name="asst3">
    <dgm:fillClrLst meth="repeat">
      <a:schemeClr val="accent1"/>
    </dgm:fillClrLst>
    <dgm:linClrLst meth="repeat">
      <a:schemeClr val="lt1"/>
    </dgm:linClrLst>
    <dgm:effectClrLst/>
    <dgm:txLinClrLst/>
    <dgm:txFillClrLst/>
    <dgm:txEffectClrLst/>
  </dgm:styleLbl>
  <dgm:styleLbl name="asst4">
    <dgm:fillClrLst meth="repeat">
      <a:schemeClr val="accent1"/>
    </dgm:fillClrLst>
    <dgm:linClrLst meth="repeat">
      <a:schemeClr val="lt1"/>
    </dgm:linClrLst>
    <dgm:effectClrLst/>
    <dgm:txLinClrLst/>
    <dgm:txFillClrLst/>
    <dgm:txEffectClrLst/>
  </dgm:styleLbl>
  <dgm:styleLbl name="parChTrans2D1">
    <dgm:fillClrLst meth="repeat">
      <a:schemeClr val="accent1">
        <a:tint val="60000"/>
      </a:schemeClr>
    </dgm:fillClrLst>
    <dgm:linClrLst meth="repeat">
      <a:schemeClr val="accent1">
        <a:tint val="60000"/>
      </a:schemeClr>
    </dgm:linClrLst>
    <dgm:effectClrLst/>
    <dgm:txLinClrLst/>
    <dgm:txFillClrLst meth="repeat">
      <a:schemeClr val="lt1"/>
    </dgm:txFillClrLst>
    <dgm:txEffectClrLst/>
  </dgm:styleLbl>
  <dgm:styleLbl name="parChTrans2D2">
    <dgm:fillClrLst meth="repeat">
      <a:schemeClr val="accent1"/>
    </dgm:fillClrLst>
    <dgm:linClrLst meth="repeat">
      <a:schemeClr val="accent1"/>
    </dgm:linClrLst>
    <dgm:effectClrLst/>
    <dgm:txLinClrLst/>
    <dgm:txFillClrLst meth="repeat">
      <a:schemeClr val="lt1"/>
    </dgm:txFillClrLst>
    <dgm:txEffectClrLst/>
  </dgm:styleLbl>
  <dgm:styleLbl name="parChTrans2D3">
    <dgm:fillClrLst meth="repeat">
      <a:schemeClr val="accent1"/>
    </dgm:fillClrLst>
    <dgm:linClrLst meth="repeat">
      <a:schemeClr val="accent1"/>
    </dgm:linClrLst>
    <dgm:effectClrLst/>
    <dgm:txLinClrLst/>
    <dgm:txFillClrLst meth="repeat">
      <a:schemeClr val="lt1"/>
    </dgm:txFillClrLst>
    <dgm:txEffectClrLst/>
  </dgm:styleLbl>
  <dgm:styleLbl name="parChTrans2D4">
    <dgm:fillClrLst meth="repeat">
      <a:schemeClr val="accent1"/>
    </dgm:fillClrLst>
    <dgm:linClrLst meth="repeat">
      <a:schemeClr val="accent1"/>
    </dgm:linClrLst>
    <dgm:effectClrLst/>
    <dgm:txLinClrLst/>
    <dgm:txFillClrLst meth="repeat">
      <a:schemeClr val="lt1"/>
    </dgm:txFillClrLst>
    <dgm:txEffectClrLst/>
  </dgm:styleLbl>
  <dgm:styleLbl name="parChTrans1D1">
    <dgm:fillClrLst meth="repeat">
      <a:schemeClr val="accent1"/>
    </dgm:fillClrLst>
    <dgm:linClrLst meth="repeat">
      <a:schemeClr val="accent1">
        <a:shade val="60000"/>
      </a:schemeClr>
    </dgm:linClrLst>
    <dgm:effectClrLst/>
    <dgm:txLinClrLst/>
    <dgm:txFillClrLst meth="repeat">
      <a:schemeClr val="tx1"/>
    </dgm:txFillClrLst>
    <dgm:txEffectClrLst/>
  </dgm:styleLbl>
  <dgm:styleLbl name="parChTrans1D2">
    <dgm:fillClrLst meth="repeat">
      <a:schemeClr val="accent1"/>
    </dgm:fillClrLst>
    <dgm:linClrLst meth="repeat">
      <a:schemeClr val="accent1">
        <a:shade val="60000"/>
      </a:schemeClr>
    </dgm:linClrLst>
    <dgm:effectClrLst/>
    <dgm:txLinClrLst/>
    <dgm:txFillClrLst meth="repeat">
      <a:schemeClr val="tx1"/>
    </dgm:txFillClrLst>
    <dgm:txEffectClrLst/>
  </dgm:styleLbl>
  <dgm:styleLbl name="parChTrans1D3">
    <dgm:fillClrLst meth="repeat">
      <a:schemeClr val="accent1"/>
    </dgm:fillClrLst>
    <dgm:linClrLst meth="repeat">
      <a:schemeClr val="accent1">
        <a:shade val="80000"/>
      </a:schemeClr>
    </dgm:linClrLst>
    <dgm:effectClrLst/>
    <dgm:txLinClrLst/>
    <dgm:txFillClrLst meth="repeat">
      <a:schemeClr val="tx1"/>
    </dgm:txFillClrLst>
    <dgm:txEffectClrLst/>
  </dgm:styleLbl>
  <dgm:styleLbl name="parChTrans1D4">
    <dgm:fillClrLst meth="repeat">
      <a:schemeClr val="accent1"/>
    </dgm:fillClrLst>
    <dgm:linClrLst meth="repeat">
      <a:schemeClr val="accent1">
        <a:shade val="80000"/>
      </a:schemeClr>
    </dgm:linClrLst>
    <dgm:effectClrLst/>
    <dgm:txLinClrLst/>
    <dgm:txFillClrLst meth="repeat">
      <a:schemeClr val="tx1"/>
    </dgm:txFillClrLst>
    <dgm:txEffectClrLst/>
  </dgm:styleLbl>
  <dgm:styleLbl name="fgAcc1">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conFgAcc1">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alignAcc1">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trAlignAcc1">
    <dgm:fillClrLst meth="repeat">
      <a:schemeClr val="lt1">
        <a:alpha val="40000"/>
      </a:schemeClr>
    </dgm:fillClrLst>
    <dgm:linClrLst meth="repeat">
      <a:schemeClr val="accent1"/>
    </dgm:linClrLst>
    <dgm:effectClrLst/>
    <dgm:txLinClrLst/>
    <dgm:txFillClrLst meth="repeat">
      <a:schemeClr val="dk1"/>
    </dgm:txFillClrLst>
    <dgm:txEffectClrLst/>
  </dgm:styleLbl>
  <dgm:styleLbl name="bgAcc1">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solidFgAcc1">
    <dgm:fillClrLst meth="repeat">
      <a:schemeClr val="lt1"/>
    </dgm:fillClrLst>
    <dgm:linClrLst meth="repeat">
      <a:schemeClr val="accent1"/>
    </dgm:linClrLst>
    <dgm:effectClrLst/>
    <dgm:txLinClrLst/>
    <dgm:txFillClrLst meth="repeat">
      <a:schemeClr val="dk1"/>
    </dgm:txFillClrLst>
    <dgm:txEffectClrLst/>
  </dgm:styleLbl>
  <dgm:styleLbl name="solidAlignAcc1">
    <dgm:fillClrLst meth="repeat">
      <a:schemeClr val="lt1"/>
    </dgm:fillClrLst>
    <dgm:linClrLst meth="repeat">
      <a:schemeClr val="accent1"/>
    </dgm:linClrLst>
    <dgm:effectClrLst/>
    <dgm:txLinClrLst/>
    <dgm:txFillClrLst meth="repeat">
      <a:schemeClr val="dk1"/>
    </dgm:txFillClrLst>
    <dgm:txEffectClrLst/>
  </dgm:styleLbl>
  <dgm:styleLbl name="solidBgAcc1">
    <dgm:fillClrLst meth="repeat">
      <a:schemeClr val="lt1"/>
    </dgm:fillClrLst>
    <dgm:linClrLst meth="repeat">
      <a:schemeClr val="accent1"/>
    </dgm:linClrLst>
    <dgm:effectClrLst/>
    <dgm:txLinClrLst/>
    <dgm:txFillClrLst meth="repeat">
      <a:schemeClr val="dk1"/>
    </dgm:txFillClrLst>
    <dgm:txEffectClrLst/>
  </dgm:styleLbl>
  <dgm:styleLbl name="fgAccFollowNode1">
    <dgm:fillClrLst meth="repeat">
      <a:schemeClr val="accent1">
        <a:alpha val="90000"/>
        <a:tint val="40000"/>
      </a:schemeClr>
    </dgm:fillClrLst>
    <dgm:linClrLst meth="repeat">
      <a:schemeClr val="accent1">
        <a:alpha val="90000"/>
        <a:tint val="40000"/>
      </a:schemeClr>
    </dgm:linClrLst>
    <dgm:effectClrLst/>
    <dgm:txLinClrLst/>
    <dgm:txFillClrLst meth="repeat">
      <a:schemeClr val="dk1"/>
    </dgm:txFillClrLst>
    <dgm:txEffectClrLst/>
  </dgm:styleLbl>
  <dgm:styleLbl name="alignAccFollowNode1">
    <dgm:fillClrLst meth="repeat">
      <a:schemeClr val="accent1">
        <a:alpha val="90000"/>
        <a:tint val="40000"/>
      </a:schemeClr>
    </dgm:fillClrLst>
    <dgm:linClrLst meth="repeat">
      <a:schemeClr val="accent1">
        <a:alpha val="90000"/>
        <a:tint val="40000"/>
      </a:schemeClr>
    </dgm:linClrLst>
    <dgm:effectClrLst/>
    <dgm:txLinClrLst/>
    <dgm:txFillClrLst meth="repeat">
      <a:schemeClr val="dk1"/>
    </dgm:txFillClrLst>
    <dgm:txEffectClrLst/>
  </dgm:styleLbl>
  <dgm:styleLbl name="bgAccFollowNode1">
    <dgm:fillClrLst meth="repeat">
      <a:schemeClr val="accent1">
        <a:alpha val="90000"/>
        <a:tint val="40000"/>
      </a:schemeClr>
    </dgm:fillClrLst>
    <dgm:linClrLst meth="repeat">
      <a:schemeClr val="accent1">
        <a:alpha val="90000"/>
        <a:tint val="40000"/>
      </a:schemeClr>
    </dgm:linClrLst>
    <dgm:effectClrLst/>
    <dgm:txLinClrLst/>
    <dgm:txFillClrLst meth="repeat">
      <a:schemeClr val="dk1"/>
    </dgm:txFillClrLst>
    <dgm:txEffectClrLst/>
  </dgm:styleLbl>
  <dgm:styleLbl name="fgAcc0">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fgAcc2">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fgAcc3">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fgAcc4">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bgShp">
    <dgm:fillClrLst meth="repeat">
      <a:schemeClr val="accent1">
        <a:tint val="40000"/>
      </a:schemeClr>
    </dgm:fillClrLst>
    <dgm:linClrLst meth="repeat">
      <a:schemeClr val="accent1"/>
    </dgm:linClrLst>
    <dgm:effectClrLst/>
    <dgm:txLinClrLst/>
    <dgm:txFillClrLst meth="repeat">
      <a:schemeClr val="dk1"/>
    </dgm:txFillClrLst>
    <dgm:txEffectClrLst/>
  </dgm:styleLbl>
  <dgm:styleLbl name="dkBgShp">
    <dgm:fillClrLst meth="repeat">
      <a:schemeClr val="accent1">
        <a:shade val="80000"/>
      </a:schemeClr>
    </dgm:fillClrLst>
    <dgm:linClrLst meth="repeat">
      <a:schemeClr val="accent1"/>
    </dgm:linClrLst>
    <dgm:effectClrLst/>
    <dgm:txLinClrLst/>
    <dgm:txFillClrLst meth="repeat">
      <a:schemeClr val="lt1"/>
    </dgm:txFillClrLst>
    <dgm:txEffectClrLst/>
  </dgm:styleLbl>
  <dgm:styleLbl name="trBgShp">
    <dgm:fillClrLst meth="repeat">
      <a:schemeClr val="accent1">
        <a:tint val="50000"/>
        <a:alpha val="40000"/>
      </a:schemeClr>
    </dgm:fillClrLst>
    <dgm:linClrLst meth="repeat">
      <a:schemeClr val="accent1"/>
    </dgm:linClrLst>
    <dgm:effectClrLst/>
    <dgm:txLinClrLst/>
    <dgm:txFillClrLst meth="repeat">
      <a:schemeClr val="lt1"/>
    </dgm:txFillClrLst>
    <dgm:txEffectClrLst/>
  </dgm:styleLbl>
  <dgm:styleLbl name="fgShp">
    <dgm:fillClrLst meth="repeat">
      <a:schemeClr val="accent1">
        <a:tint val="60000"/>
      </a:schemeClr>
    </dgm:fillClrLst>
    <dgm:linClrLst meth="repeat">
      <a:schemeClr val="lt1"/>
    </dgm:linClrLst>
    <dgm:effectClrLst/>
    <dgm:txLinClrLst/>
    <dgm:txFillClrLst meth="repeat">
      <a:schemeClr val="dk1"/>
    </dgm:txFillClrLst>
    <dgm:txEffectClrLst/>
  </dgm:styleLbl>
  <dgm:styleLbl name="revTx">
    <dgm:fillClrLst meth="repeat">
      <a:schemeClr val="lt1">
        <a:alpha val="0"/>
      </a:schemeClr>
    </dgm:fillClrLst>
    <dgm:linClrLst meth="repeat">
      <a:schemeClr val="dk1">
        <a:alpha val="0"/>
      </a:schemeClr>
    </dgm:linClrLst>
    <dgm:effectClrLst/>
    <dgm:txLinClrLst/>
    <dgm:txFillClrLst meth="repeat">
      <a:schemeClr val="tx1"/>
    </dgm:txFillClrLst>
    <dgm:txEffectClrLst/>
  </dgm:styleLbl>
</dgm:colorsDef>
</file>

<file path=word/diagrams/data1.xml><?xml version="1.0" encoding="utf-8"?>
<dgm:dataModel xmlns:dgm="http://schemas.openxmlformats.org/drawingml/2006/diagram" xmlns:a="http://schemas.openxmlformats.org/drawingml/2006/main">
  <dgm:ptLst>
    <dgm:pt modelId="{AE5BE179-683F-4B42-9F70-D738D01B4B14}" type="doc">
      <dgm:prSet loTypeId="urn:microsoft.com/office/officeart/2005/8/layout/pyramid1" loCatId="pyramid" qsTypeId="urn:microsoft.com/office/officeart/2005/8/quickstyle/simple1" qsCatId="simple" csTypeId="urn:microsoft.com/office/officeart/2005/8/colors/accent1_2" csCatId="accent1" phldr="1"/>
      <dgm:spPr/>
    </dgm:pt>
    <dgm:pt modelId="{F4153AA9-5BCB-442F-842E-EDA32E186670}">
      <dgm:prSet phldrT="[Text]" custT="1"/>
      <dgm:spPr/>
      <dgm:t>
        <a:bodyPr/>
        <a:lstStyle/>
        <a:p>
          <a:r>
            <a:rPr lang="en-AU" sz="2000">
              <a:latin typeface="Gill Sans MT" pitchFamily="34" charset="0"/>
            </a:rPr>
            <a:t>of</a:t>
          </a:r>
        </a:p>
      </dgm:t>
    </dgm:pt>
    <dgm:pt modelId="{D79DC218-7A2E-4C4F-B5FF-15E8DEA6C12F}" type="parTrans" cxnId="{277FD168-5CE1-436E-8DD4-B2F6CD10700A}">
      <dgm:prSet/>
      <dgm:spPr/>
      <dgm:t>
        <a:bodyPr/>
        <a:lstStyle/>
        <a:p>
          <a:endParaRPr lang="en-AU"/>
        </a:p>
      </dgm:t>
    </dgm:pt>
    <dgm:pt modelId="{26D827EC-0842-4715-8256-D2AF2C571052}" type="sibTrans" cxnId="{277FD168-5CE1-436E-8DD4-B2F6CD10700A}">
      <dgm:prSet/>
      <dgm:spPr/>
      <dgm:t>
        <a:bodyPr/>
        <a:lstStyle/>
        <a:p>
          <a:endParaRPr lang="en-AU"/>
        </a:p>
      </dgm:t>
    </dgm:pt>
    <dgm:pt modelId="{9AE3E450-6F11-4014-9E71-FC592055A558}">
      <dgm:prSet phldrT="[Text]" custT="1"/>
      <dgm:spPr/>
      <dgm:t>
        <a:bodyPr/>
        <a:lstStyle/>
        <a:p>
          <a:r>
            <a:rPr lang="en-AU" sz="3000">
              <a:latin typeface="Gill Sans MT" pitchFamily="34" charset="0"/>
            </a:rPr>
            <a:t>for</a:t>
          </a:r>
        </a:p>
      </dgm:t>
    </dgm:pt>
    <dgm:pt modelId="{96700A3C-3867-45C7-A149-99452F76EE5E}" type="parTrans" cxnId="{C1B25393-F798-47DB-8A25-26AB56CF5A66}">
      <dgm:prSet/>
      <dgm:spPr/>
      <dgm:t>
        <a:bodyPr/>
        <a:lstStyle/>
        <a:p>
          <a:endParaRPr lang="en-AU"/>
        </a:p>
      </dgm:t>
    </dgm:pt>
    <dgm:pt modelId="{92A3B73B-A2D5-4F6A-BF94-BCAB6E61F938}" type="sibTrans" cxnId="{C1B25393-F798-47DB-8A25-26AB56CF5A66}">
      <dgm:prSet/>
      <dgm:spPr/>
      <dgm:t>
        <a:bodyPr/>
        <a:lstStyle/>
        <a:p>
          <a:endParaRPr lang="en-AU"/>
        </a:p>
      </dgm:t>
    </dgm:pt>
    <dgm:pt modelId="{C3E282CF-DDEB-460E-879E-CF06643A1F76}">
      <dgm:prSet phldrT="[Text]" custT="1"/>
      <dgm:spPr/>
      <dgm:t>
        <a:bodyPr/>
        <a:lstStyle/>
        <a:p>
          <a:r>
            <a:rPr lang="en-AU" sz="4000">
              <a:latin typeface="Gill Sans MT" pitchFamily="34" charset="0"/>
            </a:rPr>
            <a:t>as</a:t>
          </a:r>
        </a:p>
      </dgm:t>
    </dgm:pt>
    <dgm:pt modelId="{4BB8713C-94F4-4C2C-A3AB-B6582B557900}" type="parTrans" cxnId="{486B45E9-9D8D-4A3C-89DB-FC6315BC1A03}">
      <dgm:prSet/>
      <dgm:spPr/>
      <dgm:t>
        <a:bodyPr/>
        <a:lstStyle/>
        <a:p>
          <a:endParaRPr lang="en-AU"/>
        </a:p>
      </dgm:t>
    </dgm:pt>
    <dgm:pt modelId="{149FF41E-A323-4CC7-8B42-40CEFF47A65F}" type="sibTrans" cxnId="{486B45E9-9D8D-4A3C-89DB-FC6315BC1A03}">
      <dgm:prSet/>
      <dgm:spPr/>
      <dgm:t>
        <a:bodyPr/>
        <a:lstStyle/>
        <a:p>
          <a:endParaRPr lang="en-AU"/>
        </a:p>
      </dgm:t>
    </dgm:pt>
    <dgm:pt modelId="{6D55E3C1-DBF6-4439-8444-1549F7868B5C}" type="pres">
      <dgm:prSet presAssocID="{AE5BE179-683F-4B42-9F70-D738D01B4B14}" presName="Name0" presStyleCnt="0">
        <dgm:presLayoutVars>
          <dgm:dir/>
          <dgm:animLvl val="lvl"/>
          <dgm:resizeHandles val="exact"/>
        </dgm:presLayoutVars>
      </dgm:prSet>
      <dgm:spPr/>
    </dgm:pt>
    <dgm:pt modelId="{05C829FC-D674-4CF4-A58C-FBF8FBFF88B9}" type="pres">
      <dgm:prSet presAssocID="{F4153AA9-5BCB-442F-842E-EDA32E186670}" presName="Name8" presStyleCnt="0"/>
      <dgm:spPr/>
    </dgm:pt>
    <dgm:pt modelId="{5CE9AB8D-E799-48E9-849C-3E923B69A19D}" type="pres">
      <dgm:prSet presAssocID="{F4153AA9-5BCB-442F-842E-EDA32E186670}" presName="level" presStyleLbl="node1" presStyleIdx="0" presStyleCnt="3">
        <dgm:presLayoutVars>
          <dgm:chMax val="1"/>
          <dgm:bulletEnabled val="1"/>
        </dgm:presLayoutVars>
      </dgm:prSet>
      <dgm:spPr/>
      <dgm:t>
        <a:bodyPr/>
        <a:lstStyle/>
        <a:p>
          <a:endParaRPr lang="en-AU"/>
        </a:p>
      </dgm:t>
    </dgm:pt>
    <dgm:pt modelId="{B3C3D1C7-925D-4AD4-A906-C8DF6AA5FD67}" type="pres">
      <dgm:prSet presAssocID="{F4153AA9-5BCB-442F-842E-EDA32E186670}" presName="levelTx" presStyleLbl="revTx" presStyleIdx="0" presStyleCnt="0">
        <dgm:presLayoutVars>
          <dgm:chMax val="1"/>
          <dgm:bulletEnabled val="1"/>
        </dgm:presLayoutVars>
      </dgm:prSet>
      <dgm:spPr/>
      <dgm:t>
        <a:bodyPr/>
        <a:lstStyle/>
        <a:p>
          <a:endParaRPr lang="en-AU"/>
        </a:p>
      </dgm:t>
    </dgm:pt>
    <dgm:pt modelId="{0FEBB9E9-DDE1-4B01-B6F5-EFA8168F8A37}" type="pres">
      <dgm:prSet presAssocID="{9AE3E450-6F11-4014-9E71-FC592055A558}" presName="Name8" presStyleCnt="0"/>
      <dgm:spPr/>
    </dgm:pt>
    <dgm:pt modelId="{781415BD-5C82-4C9E-9D28-300FE29C43D0}" type="pres">
      <dgm:prSet presAssocID="{9AE3E450-6F11-4014-9E71-FC592055A558}" presName="level" presStyleLbl="node1" presStyleIdx="1" presStyleCnt="3">
        <dgm:presLayoutVars>
          <dgm:chMax val="1"/>
          <dgm:bulletEnabled val="1"/>
        </dgm:presLayoutVars>
      </dgm:prSet>
      <dgm:spPr/>
      <dgm:t>
        <a:bodyPr/>
        <a:lstStyle/>
        <a:p>
          <a:endParaRPr lang="en-AU"/>
        </a:p>
      </dgm:t>
    </dgm:pt>
    <dgm:pt modelId="{969D8A8E-BFAE-4F79-9F27-5EFCB63150CD}" type="pres">
      <dgm:prSet presAssocID="{9AE3E450-6F11-4014-9E71-FC592055A558}" presName="levelTx" presStyleLbl="revTx" presStyleIdx="0" presStyleCnt="0">
        <dgm:presLayoutVars>
          <dgm:chMax val="1"/>
          <dgm:bulletEnabled val="1"/>
        </dgm:presLayoutVars>
      </dgm:prSet>
      <dgm:spPr/>
      <dgm:t>
        <a:bodyPr/>
        <a:lstStyle/>
        <a:p>
          <a:endParaRPr lang="en-AU"/>
        </a:p>
      </dgm:t>
    </dgm:pt>
    <dgm:pt modelId="{68A57BAA-9F0B-4F48-8627-D5D053A3AFD5}" type="pres">
      <dgm:prSet presAssocID="{C3E282CF-DDEB-460E-879E-CF06643A1F76}" presName="Name8" presStyleCnt="0"/>
      <dgm:spPr/>
    </dgm:pt>
    <dgm:pt modelId="{1060F14B-2821-4C67-9133-15346AAFA506}" type="pres">
      <dgm:prSet presAssocID="{C3E282CF-DDEB-460E-879E-CF06643A1F76}" presName="level" presStyleLbl="node1" presStyleIdx="2" presStyleCnt="3" custLinFactNeighborX="622">
        <dgm:presLayoutVars>
          <dgm:chMax val="1"/>
          <dgm:bulletEnabled val="1"/>
        </dgm:presLayoutVars>
      </dgm:prSet>
      <dgm:spPr/>
      <dgm:t>
        <a:bodyPr/>
        <a:lstStyle/>
        <a:p>
          <a:endParaRPr lang="en-AU"/>
        </a:p>
      </dgm:t>
    </dgm:pt>
    <dgm:pt modelId="{53C48947-BCED-4017-BF6B-F0017D6AC9FC}" type="pres">
      <dgm:prSet presAssocID="{C3E282CF-DDEB-460E-879E-CF06643A1F76}" presName="levelTx" presStyleLbl="revTx" presStyleIdx="0" presStyleCnt="0">
        <dgm:presLayoutVars>
          <dgm:chMax val="1"/>
          <dgm:bulletEnabled val="1"/>
        </dgm:presLayoutVars>
      </dgm:prSet>
      <dgm:spPr/>
      <dgm:t>
        <a:bodyPr/>
        <a:lstStyle/>
        <a:p>
          <a:endParaRPr lang="en-AU"/>
        </a:p>
      </dgm:t>
    </dgm:pt>
  </dgm:ptLst>
  <dgm:cxnLst>
    <dgm:cxn modelId="{C1B25393-F798-47DB-8A25-26AB56CF5A66}" srcId="{AE5BE179-683F-4B42-9F70-D738D01B4B14}" destId="{9AE3E450-6F11-4014-9E71-FC592055A558}" srcOrd="1" destOrd="0" parTransId="{96700A3C-3867-45C7-A149-99452F76EE5E}" sibTransId="{92A3B73B-A2D5-4F6A-BF94-BCAB6E61F938}"/>
    <dgm:cxn modelId="{277FD168-5CE1-436E-8DD4-B2F6CD10700A}" srcId="{AE5BE179-683F-4B42-9F70-D738D01B4B14}" destId="{F4153AA9-5BCB-442F-842E-EDA32E186670}" srcOrd="0" destOrd="0" parTransId="{D79DC218-7A2E-4C4F-B5FF-15E8DEA6C12F}" sibTransId="{26D827EC-0842-4715-8256-D2AF2C571052}"/>
    <dgm:cxn modelId="{92949E02-B19A-4D1E-83F6-99E294413F35}" type="presOf" srcId="{C3E282CF-DDEB-460E-879E-CF06643A1F76}" destId="{53C48947-BCED-4017-BF6B-F0017D6AC9FC}" srcOrd="1" destOrd="0" presId="urn:microsoft.com/office/officeart/2005/8/layout/pyramid1"/>
    <dgm:cxn modelId="{6DBF718A-0729-43CE-8318-AA545024F37A}" type="presOf" srcId="{9AE3E450-6F11-4014-9E71-FC592055A558}" destId="{781415BD-5C82-4C9E-9D28-300FE29C43D0}" srcOrd="0" destOrd="0" presId="urn:microsoft.com/office/officeart/2005/8/layout/pyramid1"/>
    <dgm:cxn modelId="{112E75F8-7ED4-4DAD-B6FF-3C1768939EAE}" type="presOf" srcId="{F4153AA9-5BCB-442F-842E-EDA32E186670}" destId="{5CE9AB8D-E799-48E9-849C-3E923B69A19D}" srcOrd="0" destOrd="0" presId="urn:microsoft.com/office/officeart/2005/8/layout/pyramid1"/>
    <dgm:cxn modelId="{54391D8F-9398-4950-8DA3-82A18AB1432E}" type="presOf" srcId="{AE5BE179-683F-4B42-9F70-D738D01B4B14}" destId="{6D55E3C1-DBF6-4439-8444-1549F7868B5C}" srcOrd="0" destOrd="0" presId="urn:microsoft.com/office/officeart/2005/8/layout/pyramid1"/>
    <dgm:cxn modelId="{5077ED41-F295-47B0-BA3E-1D2CD82A693B}" type="presOf" srcId="{C3E282CF-DDEB-460E-879E-CF06643A1F76}" destId="{1060F14B-2821-4C67-9133-15346AAFA506}" srcOrd="0" destOrd="0" presId="urn:microsoft.com/office/officeart/2005/8/layout/pyramid1"/>
    <dgm:cxn modelId="{F8CC8E6A-C9BE-4036-823D-256B167FBF4C}" type="presOf" srcId="{F4153AA9-5BCB-442F-842E-EDA32E186670}" destId="{B3C3D1C7-925D-4AD4-A906-C8DF6AA5FD67}" srcOrd="1" destOrd="0" presId="urn:microsoft.com/office/officeart/2005/8/layout/pyramid1"/>
    <dgm:cxn modelId="{B0A7B48F-2464-436A-A6F7-E92A9D5F4029}" type="presOf" srcId="{9AE3E450-6F11-4014-9E71-FC592055A558}" destId="{969D8A8E-BFAE-4F79-9F27-5EFCB63150CD}" srcOrd="1" destOrd="0" presId="urn:microsoft.com/office/officeart/2005/8/layout/pyramid1"/>
    <dgm:cxn modelId="{486B45E9-9D8D-4A3C-89DB-FC6315BC1A03}" srcId="{AE5BE179-683F-4B42-9F70-D738D01B4B14}" destId="{C3E282CF-DDEB-460E-879E-CF06643A1F76}" srcOrd="2" destOrd="0" parTransId="{4BB8713C-94F4-4C2C-A3AB-B6582B557900}" sibTransId="{149FF41E-A323-4CC7-8B42-40CEFF47A65F}"/>
    <dgm:cxn modelId="{CC9DE186-9C6E-44F3-A801-98594254AC18}" type="presParOf" srcId="{6D55E3C1-DBF6-4439-8444-1549F7868B5C}" destId="{05C829FC-D674-4CF4-A58C-FBF8FBFF88B9}" srcOrd="0" destOrd="0" presId="urn:microsoft.com/office/officeart/2005/8/layout/pyramid1"/>
    <dgm:cxn modelId="{43ED2D75-68C4-43E9-84F3-9E6B6D33BC5E}" type="presParOf" srcId="{05C829FC-D674-4CF4-A58C-FBF8FBFF88B9}" destId="{5CE9AB8D-E799-48E9-849C-3E923B69A19D}" srcOrd="0" destOrd="0" presId="urn:microsoft.com/office/officeart/2005/8/layout/pyramid1"/>
    <dgm:cxn modelId="{A4F781EF-FA55-489E-AE8A-2AB5C6CE00A8}" type="presParOf" srcId="{05C829FC-D674-4CF4-A58C-FBF8FBFF88B9}" destId="{B3C3D1C7-925D-4AD4-A906-C8DF6AA5FD67}" srcOrd="1" destOrd="0" presId="urn:microsoft.com/office/officeart/2005/8/layout/pyramid1"/>
    <dgm:cxn modelId="{E8E7CA23-2C54-4704-A830-6D69C904791B}" type="presParOf" srcId="{6D55E3C1-DBF6-4439-8444-1549F7868B5C}" destId="{0FEBB9E9-DDE1-4B01-B6F5-EFA8168F8A37}" srcOrd="1" destOrd="0" presId="urn:microsoft.com/office/officeart/2005/8/layout/pyramid1"/>
    <dgm:cxn modelId="{7C76DD70-E511-48DA-83A5-EA6FC3699E41}" type="presParOf" srcId="{0FEBB9E9-DDE1-4B01-B6F5-EFA8168F8A37}" destId="{781415BD-5C82-4C9E-9D28-300FE29C43D0}" srcOrd="0" destOrd="0" presId="urn:microsoft.com/office/officeart/2005/8/layout/pyramid1"/>
    <dgm:cxn modelId="{1482657C-6274-47DE-BE57-20258EDD9455}" type="presParOf" srcId="{0FEBB9E9-DDE1-4B01-B6F5-EFA8168F8A37}" destId="{969D8A8E-BFAE-4F79-9F27-5EFCB63150CD}" srcOrd="1" destOrd="0" presId="urn:microsoft.com/office/officeart/2005/8/layout/pyramid1"/>
    <dgm:cxn modelId="{AAB9E403-C3E8-4A43-9ABE-2AE910562D85}" type="presParOf" srcId="{6D55E3C1-DBF6-4439-8444-1549F7868B5C}" destId="{68A57BAA-9F0B-4F48-8627-D5D053A3AFD5}" srcOrd="2" destOrd="0" presId="urn:microsoft.com/office/officeart/2005/8/layout/pyramid1"/>
    <dgm:cxn modelId="{A0138CEC-DE71-45B3-A922-EBBCA028139B}" type="presParOf" srcId="{68A57BAA-9F0B-4F48-8627-D5D053A3AFD5}" destId="{1060F14B-2821-4C67-9133-15346AAFA506}" srcOrd="0" destOrd="0" presId="urn:microsoft.com/office/officeart/2005/8/layout/pyramid1"/>
    <dgm:cxn modelId="{F9B3DC53-9F25-482E-86B3-132154386EBC}" type="presParOf" srcId="{68A57BAA-9F0B-4F48-8627-D5D053A3AFD5}" destId="{53C48947-BCED-4017-BF6B-F0017D6AC9FC}" srcOrd="1" destOrd="0" presId="urn:microsoft.com/office/officeart/2005/8/layout/pyramid1"/>
  </dgm:cxnLst>
  <dgm:bg/>
  <dgm:whole>
    <a:ln>
      <a:noFill/>
    </a:ln>
  </dgm:whole>
  <dgm:extLst>
    <a:ext uri="http://schemas.microsoft.com/office/drawing/2008/diagram">
      <dsp:dataModelExt xmlns:dsp="http://schemas.microsoft.com/office/drawing/2008/diagram" relId="rId12" minVer="http://schemas.openxmlformats.org/drawingml/2006/diagram"/>
    </a:ext>
  </dgm:extLst>
</dgm:dataModel>
</file>

<file path=word/diagrams/drawing1.xml><?xml version="1.0" encoding="utf-8"?>
<dsp:drawing xmlns:dgm="http://schemas.openxmlformats.org/drawingml/2006/diagram" xmlns:dsp="http://schemas.microsoft.com/office/drawing/2008/diagram" xmlns:a="http://schemas.openxmlformats.org/drawingml/2006/main">
  <dsp:spTree>
    <dsp:nvGrpSpPr>
      <dsp:cNvPr id="0" name=""/>
      <dsp:cNvGrpSpPr/>
    </dsp:nvGrpSpPr>
    <dsp:grpSpPr/>
    <dsp:sp modelId="{5CE9AB8D-E799-48E9-849C-3E923B69A19D}">
      <dsp:nvSpPr>
        <dsp:cNvPr id="0" name=""/>
        <dsp:cNvSpPr/>
      </dsp:nvSpPr>
      <dsp:spPr>
        <a:xfrm>
          <a:off x="1828800" y="0"/>
          <a:ext cx="1828800" cy="1066800"/>
        </a:xfrm>
        <a:prstGeom prst="trapezoid">
          <a:avLst>
            <a:gd name="adj" fmla="val 85714"/>
          </a:avLst>
        </a:prstGeom>
        <a:solidFill>
          <a:schemeClr val="accent1">
            <a:hueOff val="0"/>
            <a:satOff val="0"/>
            <a:lumOff val="0"/>
            <a:alphaOff val="0"/>
          </a:schemeClr>
        </a:solidFill>
        <a:ln w="25400" cap="flat" cmpd="sng" algn="ctr">
          <a:solidFill>
            <a:schemeClr val="lt1">
              <a:hueOff val="0"/>
              <a:satOff val="0"/>
              <a:lumOff val="0"/>
              <a:alphaOff val="0"/>
            </a:schemeClr>
          </a:solidFill>
          <a:prstDash val="solid"/>
        </a:ln>
        <a:effectLst/>
      </dsp:spPr>
      <dsp:style>
        <a:lnRef idx="2">
          <a:scrgbClr r="0" g="0" b="0"/>
        </a:lnRef>
        <a:fillRef idx="1">
          <a:scrgbClr r="0" g="0" b="0"/>
        </a:fillRef>
        <a:effectRef idx="0">
          <a:scrgbClr r="0" g="0" b="0"/>
        </a:effectRef>
        <a:fontRef idx="minor">
          <a:schemeClr val="lt1"/>
        </a:fontRef>
      </dsp:style>
      <dsp:txBody>
        <a:bodyPr spcFirstLastPara="0" vert="horz" wrap="square" lIns="25400" tIns="25400" rIns="25400" bIns="25400" numCol="1" spcCol="1270" anchor="ctr" anchorCtr="0">
          <a:noAutofit/>
        </a:bodyPr>
        <a:lstStyle/>
        <a:p>
          <a:pPr lvl="0" algn="ctr" defTabSz="889000">
            <a:lnSpc>
              <a:spcPct val="90000"/>
            </a:lnSpc>
            <a:spcBef>
              <a:spcPct val="0"/>
            </a:spcBef>
            <a:spcAft>
              <a:spcPct val="35000"/>
            </a:spcAft>
          </a:pPr>
          <a:r>
            <a:rPr lang="en-AU" sz="2000" kern="1200">
              <a:latin typeface="Gill Sans MT" pitchFamily="34" charset="0"/>
            </a:rPr>
            <a:t>of</a:t>
          </a:r>
        </a:p>
      </dsp:txBody>
      <dsp:txXfrm>
        <a:off x="1828800" y="0"/>
        <a:ext cx="1828800" cy="1066800"/>
      </dsp:txXfrm>
    </dsp:sp>
    <dsp:sp modelId="{781415BD-5C82-4C9E-9D28-300FE29C43D0}">
      <dsp:nvSpPr>
        <dsp:cNvPr id="0" name=""/>
        <dsp:cNvSpPr/>
      </dsp:nvSpPr>
      <dsp:spPr>
        <a:xfrm>
          <a:off x="914400" y="1066800"/>
          <a:ext cx="3657600" cy="1066800"/>
        </a:xfrm>
        <a:prstGeom prst="trapezoid">
          <a:avLst>
            <a:gd name="adj" fmla="val 85714"/>
          </a:avLst>
        </a:prstGeom>
        <a:solidFill>
          <a:schemeClr val="accent1">
            <a:hueOff val="0"/>
            <a:satOff val="0"/>
            <a:lumOff val="0"/>
            <a:alphaOff val="0"/>
          </a:schemeClr>
        </a:solidFill>
        <a:ln w="25400" cap="flat" cmpd="sng" algn="ctr">
          <a:solidFill>
            <a:schemeClr val="lt1">
              <a:hueOff val="0"/>
              <a:satOff val="0"/>
              <a:lumOff val="0"/>
              <a:alphaOff val="0"/>
            </a:schemeClr>
          </a:solidFill>
          <a:prstDash val="solid"/>
        </a:ln>
        <a:effectLst/>
      </dsp:spPr>
      <dsp:style>
        <a:lnRef idx="2">
          <a:scrgbClr r="0" g="0" b="0"/>
        </a:lnRef>
        <a:fillRef idx="1">
          <a:scrgbClr r="0" g="0" b="0"/>
        </a:fillRef>
        <a:effectRef idx="0">
          <a:scrgbClr r="0" g="0" b="0"/>
        </a:effectRef>
        <a:fontRef idx="minor">
          <a:schemeClr val="lt1"/>
        </a:fontRef>
      </dsp:style>
      <dsp:txBody>
        <a:bodyPr spcFirstLastPara="0" vert="horz" wrap="square" lIns="38100" tIns="38100" rIns="38100" bIns="38100" numCol="1" spcCol="1270" anchor="ctr" anchorCtr="0">
          <a:noAutofit/>
        </a:bodyPr>
        <a:lstStyle/>
        <a:p>
          <a:pPr lvl="0" algn="ctr" defTabSz="1333500">
            <a:lnSpc>
              <a:spcPct val="90000"/>
            </a:lnSpc>
            <a:spcBef>
              <a:spcPct val="0"/>
            </a:spcBef>
            <a:spcAft>
              <a:spcPct val="35000"/>
            </a:spcAft>
          </a:pPr>
          <a:r>
            <a:rPr lang="en-AU" sz="3000" kern="1200">
              <a:latin typeface="Gill Sans MT" pitchFamily="34" charset="0"/>
            </a:rPr>
            <a:t>for</a:t>
          </a:r>
        </a:p>
      </dsp:txBody>
      <dsp:txXfrm>
        <a:off x="1554480" y="1066800"/>
        <a:ext cx="2377440" cy="1066800"/>
      </dsp:txXfrm>
    </dsp:sp>
    <dsp:sp modelId="{1060F14B-2821-4C67-9133-15346AAFA506}">
      <dsp:nvSpPr>
        <dsp:cNvPr id="0" name=""/>
        <dsp:cNvSpPr/>
      </dsp:nvSpPr>
      <dsp:spPr>
        <a:xfrm>
          <a:off x="0" y="2133600"/>
          <a:ext cx="5486400" cy="1066800"/>
        </a:xfrm>
        <a:prstGeom prst="trapezoid">
          <a:avLst>
            <a:gd name="adj" fmla="val 85714"/>
          </a:avLst>
        </a:prstGeom>
        <a:solidFill>
          <a:schemeClr val="accent1">
            <a:hueOff val="0"/>
            <a:satOff val="0"/>
            <a:lumOff val="0"/>
            <a:alphaOff val="0"/>
          </a:schemeClr>
        </a:solidFill>
        <a:ln w="25400" cap="flat" cmpd="sng" algn="ctr">
          <a:solidFill>
            <a:schemeClr val="lt1">
              <a:hueOff val="0"/>
              <a:satOff val="0"/>
              <a:lumOff val="0"/>
              <a:alphaOff val="0"/>
            </a:schemeClr>
          </a:solidFill>
          <a:prstDash val="solid"/>
        </a:ln>
        <a:effectLst/>
      </dsp:spPr>
      <dsp:style>
        <a:lnRef idx="2">
          <a:scrgbClr r="0" g="0" b="0"/>
        </a:lnRef>
        <a:fillRef idx="1">
          <a:scrgbClr r="0" g="0" b="0"/>
        </a:fillRef>
        <a:effectRef idx="0">
          <a:scrgbClr r="0" g="0" b="0"/>
        </a:effectRef>
        <a:fontRef idx="minor">
          <a:schemeClr val="lt1"/>
        </a:fontRef>
      </dsp:style>
      <dsp:txBody>
        <a:bodyPr spcFirstLastPara="0" vert="horz" wrap="square" lIns="50800" tIns="50800" rIns="50800" bIns="50800" numCol="1" spcCol="1270" anchor="ctr" anchorCtr="0">
          <a:noAutofit/>
        </a:bodyPr>
        <a:lstStyle/>
        <a:p>
          <a:pPr lvl="0" algn="ctr" defTabSz="1778000">
            <a:lnSpc>
              <a:spcPct val="90000"/>
            </a:lnSpc>
            <a:spcBef>
              <a:spcPct val="0"/>
            </a:spcBef>
            <a:spcAft>
              <a:spcPct val="35000"/>
            </a:spcAft>
          </a:pPr>
          <a:r>
            <a:rPr lang="en-AU" sz="4000" kern="1200">
              <a:latin typeface="Gill Sans MT" pitchFamily="34" charset="0"/>
            </a:rPr>
            <a:t>as</a:t>
          </a:r>
        </a:p>
      </dsp:txBody>
      <dsp:txXfrm>
        <a:off x="960119" y="2133600"/>
        <a:ext cx="3566160" cy="1066800"/>
      </dsp:txXfrm>
    </dsp:sp>
  </dsp:spTree>
</dsp:drawing>
</file>

<file path=word/diagrams/layout1.xml><?xml version="1.0" encoding="utf-8"?>
<dgm:layoutDef xmlns:dgm="http://schemas.openxmlformats.org/drawingml/2006/diagram" xmlns:a="http://schemas.openxmlformats.org/drawingml/2006/main" uniqueId="urn:microsoft.com/office/officeart/2005/8/layout/pyramid1">
  <dgm:title val=""/>
  <dgm:desc val=""/>
  <dgm:catLst>
    <dgm:cat type="pyramid" pri="1000"/>
  </dgm:catLst>
  <dgm:sampData useDef="1">
    <dgm:dataModel>
      <dgm:ptLst/>
      <dgm:bg/>
      <dgm:whole/>
    </dgm:dataModel>
  </dgm:sampData>
  <dgm:styleData>
    <dgm:dataModel>
      <dgm:ptLst>
        <dgm:pt modelId="0" type="doc"/>
        <dgm:pt modelId="1"/>
        <dgm:pt modelId="2"/>
      </dgm:ptLst>
      <dgm:cxnLst>
        <dgm:cxn modelId="3" srcId="0" destId="1" srcOrd="0" destOrd="0"/>
        <dgm:cxn modelId="4" srcId="0" destId="2" srcOrd="1" destOrd="0"/>
      </dgm:cxnLst>
      <dgm:bg/>
      <dgm:whole/>
    </dgm:dataModel>
  </dgm:styleData>
  <dgm:clrData>
    <dgm:dataModel>
      <dgm:ptLst>
        <dgm:pt modelId="0" type="doc"/>
        <dgm:pt modelId="1"/>
        <dgm:pt modelId="2"/>
        <dgm:pt modelId="3"/>
        <dgm:pt modelId="4"/>
      </dgm:ptLst>
      <dgm:cxnLst>
        <dgm:cxn modelId="5" srcId="0" destId="1" srcOrd="0" destOrd="0"/>
        <dgm:cxn modelId="6" srcId="0" destId="2" srcOrd="1" destOrd="0"/>
        <dgm:cxn modelId="7" srcId="0" destId="3" srcOrd="2" destOrd="0"/>
        <dgm:cxn modelId="8" srcId="0" destId="4" srcOrd="3" destOrd="0"/>
      </dgm:cxnLst>
      <dgm:bg/>
      <dgm:whole/>
    </dgm:dataModel>
  </dgm:clrData>
  <dgm:layoutNode name="Name0">
    <dgm:varLst>
      <dgm:dir/>
      <dgm:animLvl val="lvl"/>
      <dgm:resizeHandles val="exact"/>
    </dgm:varLst>
    <dgm:choose name="Name1">
      <dgm:if name="Name2" func="var" arg="dir" op="equ" val="norm">
        <dgm:alg type="pyra">
          <dgm:param type="linDir" val="fromB"/>
          <dgm:param type="txDir" val="fromT"/>
          <dgm:param type="pyraAcctPos" val="aft"/>
          <dgm:param type="pyraAcctTxMar" val="step"/>
          <dgm:param type="pyraAcctBkgdNode" val="acctBkgd"/>
          <dgm:param type="pyraAcctTxNode" val="acctTx"/>
          <dgm:param type="pyraLvlNode" val="level"/>
        </dgm:alg>
      </dgm:if>
      <dgm:else name="Name3">
        <dgm:alg type="pyra">
          <dgm:param type="linDir" val="fromB"/>
          <dgm:param type="txDir" val="fromT"/>
          <dgm:param type="pyraAcctPos" val="bef"/>
          <dgm:param type="pyraAcctTxMar" val="step"/>
          <dgm:param type="pyraAcctBkgdNode" val="acctBkgd"/>
          <dgm:param type="pyraAcctTxNode" val="acctTx"/>
          <dgm:param type="pyraLvlNode" val="level"/>
        </dgm:alg>
      </dgm:else>
    </dgm:choose>
    <dgm:shape xmlns:r="http://schemas.openxmlformats.org/officeDocument/2006/relationships" r:blip="">
      <dgm:adjLst/>
    </dgm:shape>
    <dgm:presOf/>
    <dgm:choose name="Name4">
      <dgm:if name="Name5" axis="root des" ptType="all node" func="maxDepth" op="gte" val="2">
        <dgm:constrLst>
          <dgm:constr type="primFontSz" for="des" forName="levelTx" op="equ"/>
          <dgm:constr type="secFontSz" for="des" forName="acctTx" op="equ"/>
          <dgm:constr type="pyraAcctRatio" val="0.32"/>
        </dgm:constrLst>
      </dgm:if>
      <dgm:else name="Name6">
        <dgm:constrLst>
          <dgm:constr type="primFontSz" for="des" forName="levelTx" op="equ"/>
          <dgm:constr type="secFontSz" for="des" forName="acctTx" op="equ"/>
          <dgm:constr type="pyraAcctRatio"/>
        </dgm:constrLst>
      </dgm:else>
    </dgm:choose>
    <dgm:ruleLst/>
    <dgm:forEach name="Name7" axis="ch" ptType="node">
      <dgm:layoutNode name="Name8">
        <dgm:alg type="composite">
          <dgm:param type="horzAlign" val="none"/>
        </dgm:alg>
        <dgm:shape xmlns:r="http://schemas.openxmlformats.org/officeDocument/2006/relationships" r:blip="">
          <dgm:adjLst/>
        </dgm:shape>
        <dgm:presOf/>
        <dgm:choose name="Name9">
          <dgm:if name="Name10" axis="self" ptType="node" func="pos" op="equ" val="1">
            <dgm:constrLst>
              <dgm:constr type="ctrX" for="ch" forName="acctBkgd" val="1"/>
              <dgm:constr type="ctrY" for="ch" forName="acctBkgd" val="1"/>
              <dgm:constr type="w" for="ch" forName="acctBkgd" val="1"/>
              <dgm:constr type="h" for="ch" forName="acctBkgd" val="1"/>
              <dgm:constr type="ctrX" for="ch" forName="acctTx" val="1"/>
              <dgm:constr type="ctrY" for="ch" forName="acctTx" val="1"/>
              <dgm:constr type="w" for="ch" forName="acctTx" val="1"/>
              <dgm:constr type="h" for="ch" forName="acctTx" val="1"/>
              <dgm:constr type="ctrX" for="ch" forName="level" val="1"/>
              <dgm:constr type="ctrY" for="ch" forName="level" val="1"/>
              <dgm:constr type="w" for="ch" forName="level" val="1"/>
              <dgm:constr type="h" for="ch" forName="level" val="1"/>
              <dgm:constr type="ctrX" for="ch" forName="levelTx" refType="ctrX" refFor="ch" refForName="level"/>
              <dgm:constr type="ctrY" for="ch" forName="levelTx" refType="ctrY" refFor="ch" refForName="level"/>
              <dgm:constr type="w" for="ch" forName="levelTx" refType="w" refFor="ch" refForName="level"/>
              <dgm:constr type="h" for="ch" forName="levelTx" refType="h" refFor="ch" refForName="level"/>
            </dgm:constrLst>
          </dgm:if>
          <dgm:else name="Name11">
            <dgm:constrLst>
              <dgm:constr type="ctrX" for="ch" forName="acctBkgd" val="1"/>
              <dgm:constr type="ctrY" for="ch" forName="acctBkgd" val="1"/>
              <dgm:constr type="w" for="ch" forName="acctBkgd" val="1"/>
              <dgm:constr type="h" for="ch" forName="acctBkgd" val="1"/>
              <dgm:constr type="ctrX" for="ch" forName="acctTx" val="1"/>
              <dgm:constr type="ctrY" for="ch" forName="acctTx" val="1"/>
              <dgm:constr type="w" for="ch" forName="acctTx" val="1"/>
              <dgm:constr type="h" for="ch" forName="acctTx" val="1"/>
              <dgm:constr type="ctrX" for="ch" forName="level" val="1"/>
              <dgm:constr type="ctrY" for="ch" forName="level" val="1"/>
              <dgm:constr type="w" for="ch" forName="level" val="1"/>
              <dgm:constr type="h" for="ch" forName="level" val="1"/>
              <dgm:constr type="ctrX" for="ch" forName="levelTx" refType="ctrX" refFor="ch" refForName="level"/>
              <dgm:constr type="ctrY" for="ch" forName="levelTx" refType="ctrY" refFor="ch" refForName="level"/>
              <dgm:constr type="w" for="ch" forName="levelTx" refType="w" refFor="ch" refForName="level" fact="0.65"/>
              <dgm:constr type="h" for="ch" forName="levelTx" refType="h" refFor="ch" refForName="level"/>
            </dgm:constrLst>
          </dgm:else>
        </dgm:choose>
        <dgm:ruleLst/>
        <dgm:choose name="Name12">
          <dgm:if name="Name13" axis="ch" ptType="node" func="cnt" op="gte" val="1">
            <dgm:layoutNode name="acctBkgd" styleLbl="alignAcc1">
              <dgm:alg type="sp"/>
              <dgm:shape xmlns:r="http://schemas.openxmlformats.org/officeDocument/2006/relationships" type="nonIsoscelesTrapezoid" r:blip="">
                <dgm:adjLst/>
              </dgm:shape>
              <dgm:presOf axis="des" ptType="node"/>
              <dgm:constrLst/>
              <dgm:ruleLst/>
            </dgm:layoutNode>
            <dgm:layoutNode name="acctTx" styleLbl="alignAcc1">
              <dgm:varLst>
                <dgm:bulletEnabled val="1"/>
              </dgm:varLst>
              <dgm:alg type="tx">
                <dgm:param type="stBulletLvl" val="1"/>
                <dgm:param type="txAnchorVertCh" val="mid"/>
              </dgm:alg>
              <dgm:shape xmlns:r="http://schemas.openxmlformats.org/officeDocument/2006/relationships" type="nonIsoscelesTrapezoid" r:blip="" hideGeom="1">
                <dgm:adjLst/>
              </dgm:shape>
              <dgm:presOf axis="des" ptType="node"/>
              <dgm:constrLst>
                <dgm:constr type="secFontSz" val="65"/>
                <dgm:constr type="primFontSz" refType="secFontSz"/>
                <dgm:constr type="tMarg" refType="secFontSz" fact="0.3"/>
                <dgm:constr type="bMarg" refType="secFontSz" fact="0.3"/>
                <dgm:constr type="lMarg" refType="secFontSz" fact="0.3"/>
                <dgm:constr type="rMarg" refType="secFontSz" fact="0.3"/>
              </dgm:constrLst>
              <dgm:ruleLst>
                <dgm:rule type="secFontSz" val="5" fact="NaN" max="NaN"/>
              </dgm:ruleLst>
            </dgm:layoutNode>
          </dgm:if>
          <dgm:else name="Name14"/>
        </dgm:choose>
        <dgm:layoutNode name="level">
          <dgm:varLst>
            <dgm:chMax val="1"/>
            <dgm:bulletEnabled val="1"/>
          </dgm:varLst>
          <dgm:alg type="sp"/>
          <dgm:shape xmlns:r="http://schemas.openxmlformats.org/officeDocument/2006/relationships" type="trapezoid" r:blip="">
            <dgm:adjLst/>
          </dgm:shape>
          <dgm:presOf axis="self"/>
          <dgm:constrLst>
            <dgm:constr type="h" val="500"/>
            <dgm:constr type="w" val="1"/>
          </dgm:constrLst>
          <dgm:ruleLst/>
        </dgm:layoutNode>
        <dgm:layoutNode name="levelTx" styleLbl="revTx">
          <dgm:varLst>
            <dgm:chMax val="1"/>
            <dgm:bulletEnabled val="1"/>
          </dgm:varLst>
          <dgm:alg type="tx"/>
          <dgm:shape xmlns:r="http://schemas.openxmlformats.org/officeDocument/2006/relationships" type="rect" r:blip="" hideGeom="1">
            <dgm:adjLst/>
          </dgm:shape>
          <dgm:presOf axis="self"/>
          <dgm:constrLst>
            <dgm:constr type="tMarg" refType="primFontSz" fact="0.1"/>
            <dgm:constr type="bMarg" refType="primFontSz" fact="0.1"/>
            <dgm:constr type="lMarg" refType="primFontSz" fact="0.1"/>
            <dgm:constr type="rMarg" refType="primFontSz" fact="0.1"/>
            <dgm:constr type="primFontSz" val="65"/>
          </dgm:constrLst>
          <dgm:ruleLst>
            <dgm:rule type="primFontSz" val="5" fact="NaN" max="NaN"/>
          </dgm:ruleLst>
        </dgm:layoutNode>
      </dgm:layoutNode>
    </dgm:forEach>
  </dgm:layoutNode>
</dgm:layoutDef>
</file>

<file path=word/diagrams/quickStyle1.xml><?xml version="1.0" encoding="utf-8"?>
<dgm:styleDef xmlns:dgm="http://schemas.openxmlformats.org/drawingml/2006/diagram" xmlns:a="http://schemas.openxmlformats.org/drawingml/2006/main" uniqueId="urn:microsoft.com/office/officeart/2005/8/quickstyle/simple1">
  <dgm:title val=""/>
  <dgm:desc val=""/>
  <dgm:catLst>
    <dgm:cat type="simple" pri="10100"/>
  </dgm:catLst>
  <dgm:scene3d>
    <a:camera prst="orthographicFront"/>
    <a:lightRig rig="threePt" dir="t"/>
  </dgm:scene3d>
  <dgm:styleLbl name="node0">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lnNode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vennNode1">
    <dgm:scene3d>
      <a:camera prst="orthographicFront"/>
      <a:lightRig rig="threePt" dir="t"/>
    </dgm:scene3d>
    <dgm:sp3d/>
    <dgm:txPr/>
    <dgm:style>
      <a:lnRef idx="2">
        <a:scrgbClr r="0" g="0" b="0"/>
      </a:lnRef>
      <a:fillRef idx="1">
        <a:scrgbClr r="0" g="0" b="0"/>
      </a:fillRef>
      <a:effectRef idx="0">
        <a:scrgbClr r="0" g="0" b="0"/>
      </a:effectRef>
      <a:fontRef idx="minor">
        <a:schemeClr val="tx1"/>
      </a:fontRef>
    </dgm:style>
  </dgm:styleLbl>
  <dgm:styleLbl name="alignNode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2">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3">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4">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fgImgPlac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ImgPlac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ImgPlac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ibTrans2D1">
    <dgm:scene3d>
      <a:camera prst="orthographicFront"/>
      <a:lightRig rig="threePt" dir="t"/>
    </dgm:scene3d>
    <dgm:sp3d/>
    <dgm:txPr/>
    <dgm:style>
      <a:lnRef idx="0">
        <a:scrgbClr r="0" g="0" b="0"/>
      </a:lnRef>
      <a:fillRef idx="1">
        <a:scrgbClr r="0" g="0" b="0"/>
      </a:fillRef>
      <a:effectRef idx="0">
        <a:scrgbClr r="0" g="0" b="0"/>
      </a:effectRef>
      <a:fontRef idx="minor">
        <a:schemeClr val="lt1"/>
      </a:fontRef>
    </dgm:style>
  </dgm:styleLbl>
  <dgm:styleLbl name="fgSibTrans2D1">
    <dgm:scene3d>
      <a:camera prst="orthographicFront"/>
      <a:lightRig rig="threePt" dir="t"/>
    </dgm:scene3d>
    <dgm:sp3d/>
    <dgm:txPr/>
    <dgm:style>
      <a:lnRef idx="0">
        <a:scrgbClr r="0" g="0" b="0"/>
      </a:lnRef>
      <a:fillRef idx="1">
        <a:scrgbClr r="0" g="0" b="0"/>
      </a:fillRef>
      <a:effectRef idx="0">
        <a:scrgbClr r="0" g="0" b="0"/>
      </a:effectRef>
      <a:fontRef idx="minor">
        <a:schemeClr val="lt1"/>
      </a:fontRef>
    </dgm:style>
  </dgm:styleLbl>
  <dgm:styleLbl name="bgSibTrans2D1">
    <dgm:scene3d>
      <a:camera prst="orthographicFront"/>
      <a:lightRig rig="threePt" dir="t"/>
    </dgm:scene3d>
    <dgm:sp3d/>
    <dgm:txPr/>
    <dgm:style>
      <a:lnRef idx="0">
        <a:scrgbClr r="0" g="0" b="0"/>
      </a:lnRef>
      <a:fillRef idx="1">
        <a:scrgbClr r="0" g="0" b="0"/>
      </a:fillRef>
      <a:effectRef idx="0">
        <a:scrgbClr r="0" g="0" b="0"/>
      </a:effectRef>
      <a:fontRef idx="minor">
        <a:schemeClr val="lt1"/>
      </a:fontRef>
    </dgm:style>
  </dgm:styleLbl>
  <dgm:styleLbl name="sibTrans1D1">
    <dgm:scene3d>
      <a:camera prst="orthographicFront"/>
      <a:lightRig rig="threePt" dir="t"/>
    </dgm:scene3d>
    <dgm:sp3d/>
    <dgm:txPr/>
    <dgm:style>
      <a:lnRef idx="1">
        <a:scrgbClr r="0" g="0" b="0"/>
      </a:lnRef>
      <a:fillRef idx="0">
        <a:scrgbClr r="0" g="0" b="0"/>
      </a:fillRef>
      <a:effectRef idx="0">
        <a:scrgbClr r="0" g="0" b="0"/>
      </a:effectRef>
      <a:fontRef idx="minor"/>
    </dgm:style>
  </dgm:styleLbl>
  <dgm:styleLbl name="callout">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sst0">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2">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3">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4">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2">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3">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4">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1D1">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2">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3">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4">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con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trAlignAcc1">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b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Align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B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0">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2">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3">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4">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dk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tr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fgShp">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revTx">
    <dgm:scene3d>
      <a:camera prst="orthographicFront"/>
      <a:lightRig rig="threePt" dir="t"/>
    </dgm:scene3d>
    <dgm:sp3d/>
    <dgm:txPr/>
    <dgm:style>
      <a:lnRef idx="0">
        <a:scrgbClr r="0" g="0" b="0"/>
      </a:lnRef>
      <a:fillRef idx="0">
        <a:scrgbClr r="0" g="0" b="0"/>
      </a:fillRef>
      <a:effectRef idx="0">
        <a:scrgbClr r="0" g="0" b="0"/>
      </a:effectRef>
      <a:fontRef idx="minor"/>
    </dgm:style>
  </dgm:styleLbl>
</dgm:styleDef>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414</TotalTime>
  <Pages>4</Pages>
  <Words>1354</Words>
  <Characters>7718</Characters>
  <Application>Microsoft Office Word</Application>
  <DocSecurity>0</DocSecurity>
  <Lines>64</Lines>
  <Paragraphs>18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9054</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Kim</dc:creator>
  <cp:keywords/>
  <dc:description/>
  <cp:lastModifiedBy>Kim</cp:lastModifiedBy>
  <cp:revision>42</cp:revision>
  <dcterms:created xsi:type="dcterms:W3CDTF">2013-05-02T01:08:00Z</dcterms:created>
  <dcterms:modified xsi:type="dcterms:W3CDTF">2013-05-02T09:31:00Z</dcterms:modified>
</cp:coreProperties>
</file>